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3F09" w14:textId="77777777" w:rsidR="00DD5B94" w:rsidRPr="00086B40" w:rsidRDefault="00DD5B94" w:rsidP="00A2685D">
      <w:pPr>
        <w:pStyle w:val="Heading2"/>
        <w:ind w:right="64"/>
        <w:jc w:val="both"/>
        <w:rPr>
          <w:rFonts w:ascii="Arial" w:hAnsi="Arial" w:cs="Arial"/>
          <w:color w:val="002776" w:themeColor="background2"/>
          <w:sz w:val="36"/>
          <w:szCs w:val="32"/>
          <w:lang w:val="en-GB"/>
        </w:rPr>
      </w:pPr>
      <w:r w:rsidRPr="00086B40">
        <w:rPr>
          <w:rFonts w:ascii="Arial" w:hAnsi="Arial" w:cs="Arial"/>
          <w:color w:val="002776" w:themeColor="background2"/>
          <w:sz w:val="36"/>
          <w:szCs w:val="32"/>
          <w:lang w:val="en-GB"/>
        </w:rPr>
        <w:t xml:space="preserve">HAYS PLC </w:t>
      </w:r>
    </w:p>
    <w:p w14:paraId="3BCC229F" w14:textId="77777777" w:rsidR="00DD5B94" w:rsidRPr="007379F6" w:rsidRDefault="00DD5B94" w:rsidP="00A2685D">
      <w:pPr>
        <w:ind w:right="64"/>
        <w:jc w:val="both"/>
        <w:rPr>
          <w:sz w:val="28"/>
          <w:szCs w:val="28"/>
          <w:lang w:eastAsia="en-US"/>
        </w:rPr>
      </w:pPr>
    </w:p>
    <w:p w14:paraId="21590C40" w14:textId="4D542C90" w:rsidR="00DD5B94" w:rsidRPr="007379F6" w:rsidRDefault="003957A4" w:rsidP="00A2685D">
      <w:pPr>
        <w:pStyle w:val="Heading2"/>
        <w:ind w:right="64"/>
        <w:jc w:val="both"/>
        <w:rPr>
          <w:rFonts w:ascii="Arial" w:hAnsi="Arial" w:cs="Arial"/>
          <w:color w:val="00B0F0"/>
          <w:sz w:val="28"/>
          <w:szCs w:val="28"/>
          <w:lang w:val="en-GB"/>
        </w:rPr>
      </w:pPr>
      <w:r w:rsidRPr="007379F6">
        <w:rPr>
          <w:rFonts w:ascii="Arial" w:hAnsi="Arial" w:cs="Arial"/>
          <w:sz w:val="28"/>
          <w:szCs w:val="28"/>
          <w:lang w:val="en-GB"/>
        </w:rPr>
        <w:t xml:space="preserve">INVESTOR CALL </w:t>
      </w:r>
      <w:r w:rsidR="00DD5B94" w:rsidRPr="007379F6">
        <w:rPr>
          <w:rFonts w:ascii="Arial" w:hAnsi="Arial" w:cs="Arial"/>
          <w:sz w:val="28"/>
          <w:szCs w:val="28"/>
          <w:lang w:val="en-GB"/>
        </w:rPr>
        <w:t>SCRIPT</w:t>
      </w:r>
      <w:r w:rsidR="00355020">
        <w:rPr>
          <w:rFonts w:ascii="Arial" w:hAnsi="Arial" w:cs="Arial"/>
          <w:sz w:val="28"/>
          <w:szCs w:val="28"/>
          <w:lang w:val="en-GB"/>
        </w:rPr>
        <w:t xml:space="preserve"> – </w:t>
      </w:r>
      <w:r w:rsidR="00DD5B94" w:rsidRPr="00086B40">
        <w:rPr>
          <w:rFonts w:ascii="Arial" w:hAnsi="Arial" w:cs="Arial"/>
          <w:color w:val="00A0FF" w:themeColor="accent3"/>
          <w:sz w:val="28"/>
          <w:szCs w:val="28"/>
          <w:lang w:val="en-GB"/>
        </w:rPr>
        <w:t>Q</w:t>
      </w:r>
      <w:r w:rsidR="00821930">
        <w:rPr>
          <w:rFonts w:ascii="Arial" w:hAnsi="Arial" w:cs="Arial"/>
          <w:color w:val="00A0FF" w:themeColor="accent3"/>
          <w:sz w:val="28"/>
          <w:szCs w:val="28"/>
          <w:lang w:val="en-GB"/>
        </w:rPr>
        <w:t>3</w:t>
      </w:r>
      <w:r w:rsidR="00DD5B94" w:rsidRPr="00086B40">
        <w:rPr>
          <w:rFonts w:ascii="Arial" w:hAnsi="Arial" w:cs="Arial"/>
          <w:color w:val="00A0FF" w:themeColor="accent3"/>
          <w:sz w:val="28"/>
          <w:szCs w:val="28"/>
          <w:lang w:val="en-GB"/>
        </w:rPr>
        <w:t xml:space="preserve">: </w:t>
      </w:r>
      <w:r w:rsidR="001569D2">
        <w:rPr>
          <w:rFonts w:ascii="Arial" w:hAnsi="Arial" w:cs="Arial"/>
          <w:color w:val="00A0FF" w:themeColor="accent3"/>
          <w:sz w:val="28"/>
          <w:szCs w:val="28"/>
          <w:lang w:val="en-GB"/>
        </w:rPr>
        <w:t>1</w:t>
      </w:r>
      <w:r w:rsidR="00821930">
        <w:rPr>
          <w:rFonts w:ascii="Arial" w:hAnsi="Arial" w:cs="Arial"/>
          <w:color w:val="00A0FF" w:themeColor="accent3"/>
          <w:sz w:val="28"/>
          <w:szCs w:val="28"/>
          <w:lang w:val="en-GB"/>
        </w:rPr>
        <w:t>4</w:t>
      </w:r>
      <w:r w:rsidR="00C43156" w:rsidRPr="00C43156">
        <w:rPr>
          <w:rFonts w:ascii="Arial" w:hAnsi="Arial" w:cs="Arial"/>
          <w:color w:val="00A0FF" w:themeColor="accent3"/>
          <w:sz w:val="28"/>
          <w:szCs w:val="28"/>
          <w:vertAlign w:val="superscript"/>
          <w:lang w:val="en-GB"/>
        </w:rPr>
        <w:t>th</w:t>
      </w:r>
      <w:r w:rsidR="00C43156">
        <w:rPr>
          <w:rFonts w:ascii="Arial" w:hAnsi="Arial" w:cs="Arial"/>
          <w:color w:val="00A0FF" w:themeColor="accent3"/>
          <w:sz w:val="28"/>
          <w:szCs w:val="28"/>
          <w:lang w:val="en-GB"/>
        </w:rPr>
        <w:t xml:space="preserve"> </w:t>
      </w:r>
      <w:r w:rsidR="00821930">
        <w:rPr>
          <w:rFonts w:ascii="Arial" w:hAnsi="Arial" w:cs="Arial"/>
          <w:color w:val="00A0FF" w:themeColor="accent3"/>
          <w:sz w:val="28"/>
          <w:szCs w:val="28"/>
          <w:lang w:val="en-GB"/>
        </w:rPr>
        <w:t>April</w:t>
      </w:r>
      <w:r w:rsidR="00C0436B" w:rsidRPr="00086B40">
        <w:rPr>
          <w:rFonts w:ascii="Arial" w:hAnsi="Arial" w:cs="Arial"/>
          <w:color w:val="00A0FF" w:themeColor="accent3"/>
          <w:sz w:val="28"/>
          <w:szCs w:val="28"/>
          <w:lang w:val="en-GB"/>
        </w:rPr>
        <w:t xml:space="preserve"> 202</w:t>
      </w:r>
      <w:r w:rsidR="00981555">
        <w:rPr>
          <w:rFonts w:ascii="Arial" w:hAnsi="Arial" w:cs="Arial"/>
          <w:color w:val="00A0FF" w:themeColor="accent3"/>
          <w:sz w:val="28"/>
          <w:szCs w:val="28"/>
          <w:lang w:val="en-GB"/>
        </w:rPr>
        <w:t>3</w:t>
      </w:r>
    </w:p>
    <w:p w14:paraId="7037A899" w14:textId="77777777" w:rsidR="00DD5B94" w:rsidRPr="00A349E9" w:rsidRDefault="0054359D" w:rsidP="00A2685D">
      <w:pPr>
        <w:pStyle w:val="BodyText"/>
        <w:spacing w:before="480" w:after="120"/>
        <w:ind w:right="64"/>
        <w:jc w:val="both"/>
        <w:rPr>
          <w:b/>
          <w:bCs/>
          <w:color w:val="002776" w:themeColor="background2"/>
          <w:sz w:val="32"/>
          <w:szCs w:val="28"/>
        </w:rPr>
      </w:pPr>
      <w:r w:rsidRPr="00A349E9">
        <w:rPr>
          <w:b/>
          <w:color w:val="002776" w:themeColor="background2"/>
          <w:sz w:val="32"/>
          <w:szCs w:val="28"/>
        </w:rPr>
        <w:t>INTRODUCTION</w:t>
      </w:r>
    </w:p>
    <w:p w14:paraId="224BDC03" w14:textId="515EA6AE" w:rsidR="00D46EE9" w:rsidRPr="007379F6" w:rsidRDefault="00D46EE9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7379F6">
        <w:rPr>
          <w:sz w:val="28"/>
          <w:szCs w:val="28"/>
        </w:rPr>
        <w:t xml:space="preserve">Thank </w:t>
      </w:r>
      <w:r w:rsidR="00C43156" w:rsidRPr="007379F6">
        <w:rPr>
          <w:sz w:val="28"/>
          <w:szCs w:val="28"/>
        </w:rPr>
        <w:t>you, David</w:t>
      </w:r>
      <w:r w:rsidR="00CD2566">
        <w:rPr>
          <w:sz w:val="28"/>
          <w:szCs w:val="28"/>
        </w:rPr>
        <w:t>.</w:t>
      </w:r>
      <w:r w:rsidRPr="007379F6">
        <w:rPr>
          <w:sz w:val="28"/>
          <w:szCs w:val="28"/>
        </w:rPr>
        <w:t xml:space="preserve"> </w:t>
      </w:r>
      <w:r w:rsidR="00CD2566">
        <w:rPr>
          <w:sz w:val="28"/>
          <w:szCs w:val="28"/>
        </w:rPr>
        <w:t>G</w:t>
      </w:r>
      <w:r w:rsidRPr="007379F6">
        <w:rPr>
          <w:sz w:val="28"/>
          <w:szCs w:val="28"/>
        </w:rPr>
        <w:t xml:space="preserve">ood </w:t>
      </w:r>
      <w:r w:rsidR="00363C4C" w:rsidRPr="007379F6">
        <w:rPr>
          <w:sz w:val="28"/>
          <w:szCs w:val="28"/>
        </w:rPr>
        <w:t>morning</w:t>
      </w:r>
      <w:r w:rsidR="00012AE5">
        <w:rPr>
          <w:sz w:val="28"/>
          <w:szCs w:val="28"/>
        </w:rPr>
        <w:t>,</w:t>
      </w:r>
      <w:r w:rsidRPr="007379F6">
        <w:rPr>
          <w:sz w:val="28"/>
          <w:szCs w:val="28"/>
        </w:rPr>
        <w:t xml:space="preserve"> </w:t>
      </w:r>
      <w:r w:rsidR="00012AE5" w:rsidRPr="007379F6">
        <w:rPr>
          <w:sz w:val="28"/>
          <w:szCs w:val="28"/>
        </w:rPr>
        <w:t>every</w:t>
      </w:r>
      <w:r w:rsidR="00012AE5">
        <w:rPr>
          <w:sz w:val="28"/>
          <w:szCs w:val="28"/>
        </w:rPr>
        <w:t>one,</w:t>
      </w:r>
      <w:r w:rsidRPr="007379F6">
        <w:rPr>
          <w:sz w:val="28"/>
          <w:szCs w:val="28"/>
        </w:rPr>
        <w:t xml:space="preserve"> and thank</w:t>
      </w:r>
      <w:r w:rsidR="004B4B58" w:rsidRPr="007379F6">
        <w:rPr>
          <w:sz w:val="28"/>
          <w:szCs w:val="28"/>
        </w:rPr>
        <w:t>s</w:t>
      </w:r>
      <w:r w:rsidRPr="007379F6">
        <w:rPr>
          <w:sz w:val="28"/>
          <w:szCs w:val="28"/>
        </w:rPr>
        <w:t xml:space="preserve"> for joining us</w:t>
      </w:r>
      <w:r w:rsidR="00231FD9">
        <w:rPr>
          <w:sz w:val="28"/>
          <w:szCs w:val="28"/>
        </w:rPr>
        <w:t>.</w:t>
      </w:r>
      <w:r w:rsidRPr="007379F6">
        <w:rPr>
          <w:sz w:val="28"/>
          <w:szCs w:val="28"/>
        </w:rPr>
        <w:t xml:space="preserve"> </w:t>
      </w:r>
    </w:p>
    <w:p w14:paraId="53441E41" w14:textId="3DBF6AB8" w:rsidR="00D46EE9" w:rsidRPr="007379F6" w:rsidRDefault="00D46EE9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7379F6">
        <w:rPr>
          <w:sz w:val="28"/>
          <w:szCs w:val="28"/>
        </w:rPr>
        <w:t xml:space="preserve">I will </w:t>
      </w:r>
      <w:r w:rsidR="004C060A" w:rsidRPr="007379F6">
        <w:rPr>
          <w:sz w:val="28"/>
          <w:szCs w:val="28"/>
        </w:rPr>
        <w:t>present</w:t>
      </w:r>
      <w:r w:rsidRPr="007379F6">
        <w:rPr>
          <w:sz w:val="28"/>
          <w:szCs w:val="28"/>
        </w:rPr>
        <w:t xml:space="preserve"> </w:t>
      </w:r>
      <w:r w:rsidR="00D934B2">
        <w:rPr>
          <w:sz w:val="28"/>
          <w:szCs w:val="28"/>
        </w:rPr>
        <w:t xml:space="preserve">the </w:t>
      </w:r>
      <w:r w:rsidRPr="007379F6">
        <w:rPr>
          <w:sz w:val="28"/>
          <w:szCs w:val="28"/>
        </w:rPr>
        <w:t xml:space="preserve">highlights </w:t>
      </w:r>
      <w:r w:rsidR="00673745">
        <w:rPr>
          <w:sz w:val="28"/>
          <w:szCs w:val="28"/>
        </w:rPr>
        <w:t xml:space="preserve">and </w:t>
      </w:r>
      <w:r w:rsidR="00673745" w:rsidRPr="007379F6">
        <w:rPr>
          <w:sz w:val="28"/>
          <w:szCs w:val="28"/>
        </w:rPr>
        <w:t xml:space="preserve">key themes </w:t>
      </w:r>
      <w:r w:rsidRPr="007379F6">
        <w:rPr>
          <w:sz w:val="28"/>
          <w:szCs w:val="28"/>
        </w:rPr>
        <w:t>of today’s update, and discuss regional performances,</w:t>
      </w:r>
      <w:r w:rsidR="00673745">
        <w:rPr>
          <w:sz w:val="28"/>
          <w:szCs w:val="28"/>
        </w:rPr>
        <w:t xml:space="preserve"> </w:t>
      </w:r>
      <w:r w:rsidRPr="007379F6">
        <w:rPr>
          <w:sz w:val="28"/>
          <w:szCs w:val="28"/>
        </w:rPr>
        <w:t>before tak</w:t>
      </w:r>
      <w:r w:rsidR="004B4B58" w:rsidRPr="007379F6">
        <w:rPr>
          <w:sz w:val="28"/>
          <w:szCs w:val="28"/>
        </w:rPr>
        <w:t>ing</w:t>
      </w:r>
      <w:r w:rsidRPr="007379F6">
        <w:rPr>
          <w:sz w:val="28"/>
          <w:szCs w:val="28"/>
        </w:rPr>
        <w:t xml:space="preserve"> questions.</w:t>
      </w:r>
      <w:r w:rsidR="0087702F" w:rsidRPr="007379F6">
        <w:rPr>
          <w:sz w:val="28"/>
          <w:szCs w:val="28"/>
        </w:rPr>
        <w:t xml:space="preserve"> As usual, all net fee growth percentages </w:t>
      </w:r>
      <w:r w:rsidR="004C060A" w:rsidRPr="007379F6">
        <w:rPr>
          <w:sz w:val="28"/>
          <w:szCs w:val="28"/>
        </w:rPr>
        <w:t xml:space="preserve">are </w:t>
      </w:r>
      <w:r w:rsidR="0087702F" w:rsidRPr="007379F6">
        <w:rPr>
          <w:sz w:val="28"/>
          <w:szCs w:val="28"/>
        </w:rPr>
        <w:t>on a like-for-like basis versus pri</w:t>
      </w:r>
      <w:r w:rsidR="00AB7BBA" w:rsidRPr="007379F6">
        <w:rPr>
          <w:sz w:val="28"/>
          <w:szCs w:val="28"/>
        </w:rPr>
        <w:t>or year unless stated otherwise</w:t>
      </w:r>
      <w:r w:rsidR="0087702F" w:rsidRPr="007379F6">
        <w:rPr>
          <w:sz w:val="28"/>
          <w:szCs w:val="28"/>
        </w:rPr>
        <w:t>.</w:t>
      </w:r>
    </w:p>
    <w:p w14:paraId="7749822B" w14:textId="205F5413" w:rsidR="00457BBD" w:rsidRPr="00A349E9" w:rsidRDefault="004A1773" w:rsidP="00A2685D">
      <w:pPr>
        <w:pStyle w:val="BodyText"/>
        <w:spacing w:before="480" w:after="120"/>
        <w:ind w:right="64"/>
        <w:jc w:val="both"/>
        <w:rPr>
          <w:b/>
          <w:color w:val="002776" w:themeColor="background2"/>
          <w:sz w:val="32"/>
          <w:szCs w:val="28"/>
        </w:rPr>
      </w:pPr>
      <w:r w:rsidRPr="00A349E9">
        <w:rPr>
          <w:b/>
          <w:color w:val="002776" w:themeColor="background2"/>
          <w:sz w:val="32"/>
          <w:szCs w:val="28"/>
        </w:rPr>
        <w:t>OVERVIEW</w:t>
      </w:r>
    </w:p>
    <w:p w14:paraId="743F031C" w14:textId="4B1B0DAD" w:rsidR="00922209" w:rsidRDefault="00DB4390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We delivered a</w:t>
      </w:r>
      <w:r w:rsidR="0081160B">
        <w:rPr>
          <w:sz w:val="28"/>
          <w:szCs w:val="28"/>
        </w:rPr>
        <w:t>nother</w:t>
      </w:r>
      <w:r>
        <w:rPr>
          <w:sz w:val="28"/>
          <w:szCs w:val="28"/>
        </w:rPr>
        <w:t xml:space="preserve"> </w:t>
      </w:r>
      <w:r w:rsidR="00091DF3">
        <w:rPr>
          <w:sz w:val="28"/>
          <w:szCs w:val="28"/>
        </w:rPr>
        <w:t>record</w:t>
      </w:r>
      <w:r>
        <w:rPr>
          <w:sz w:val="28"/>
          <w:szCs w:val="28"/>
        </w:rPr>
        <w:t xml:space="preserve"> </w:t>
      </w:r>
      <w:r w:rsidR="00821930">
        <w:rPr>
          <w:sz w:val="28"/>
          <w:szCs w:val="28"/>
        </w:rPr>
        <w:t>quarter</w:t>
      </w:r>
      <w:r w:rsidR="00DD0467" w:rsidRPr="00CB2F78">
        <w:rPr>
          <w:sz w:val="28"/>
          <w:szCs w:val="28"/>
        </w:rPr>
        <w:t xml:space="preserve">, with </w:t>
      </w:r>
      <w:r w:rsidR="0081160B">
        <w:rPr>
          <w:sz w:val="28"/>
          <w:szCs w:val="28"/>
        </w:rPr>
        <w:t>good</w:t>
      </w:r>
      <w:r w:rsidR="00B10A74">
        <w:rPr>
          <w:sz w:val="28"/>
          <w:szCs w:val="28"/>
        </w:rPr>
        <w:t xml:space="preserve"> growth</w:t>
      </w:r>
      <w:r w:rsidR="00DD0467" w:rsidRPr="00CB2F78">
        <w:rPr>
          <w:sz w:val="28"/>
          <w:szCs w:val="28"/>
        </w:rPr>
        <w:t xml:space="preserve"> </w:t>
      </w:r>
      <w:r w:rsidR="00963FA1">
        <w:rPr>
          <w:sz w:val="28"/>
          <w:szCs w:val="28"/>
        </w:rPr>
        <w:t xml:space="preserve">across </w:t>
      </w:r>
      <w:r w:rsidR="00922209" w:rsidRPr="00CB2F78">
        <w:rPr>
          <w:sz w:val="28"/>
          <w:szCs w:val="28"/>
        </w:rPr>
        <w:t>our</w:t>
      </w:r>
      <w:r w:rsidR="00DD0467" w:rsidRPr="00CB2F78">
        <w:rPr>
          <w:sz w:val="28"/>
          <w:szCs w:val="28"/>
        </w:rPr>
        <w:t xml:space="preserve"> key strategic areas </w:t>
      </w:r>
      <w:r w:rsidR="00922209" w:rsidRPr="00CB2F78">
        <w:rPr>
          <w:sz w:val="28"/>
          <w:szCs w:val="28"/>
        </w:rPr>
        <w:t>including</w:t>
      </w:r>
      <w:r w:rsidR="00DD0467" w:rsidRPr="00CB2F78">
        <w:rPr>
          <w:sz w:val="28"/>
          <w:szCs w:val="28"/>
        </w:rPr>
        <w:t xml:space="preserve"> Temp &amp; </w:t>
      </w:r>
      <w:r w:rsidR="00D75161" w:rsidRPr="00CB2F78">
        <w:rPr>
          <w:sz w:val="28"/>
          <w:szCs w:val="28"/>
        </w:rPr>
        <w:t>C</w:t>
      </w:r>
      <w:r w:rsidR="00DD0467" w:rsidRPr="00CB2F78">
        <w:rPr>
          <w:sz w:val="28"/>
          <w:szCs w:val="28"/>
        </w:rPr>
        <w:t>ontracting</w:t>
      </w:r>
      <w:r>
        <w:rPr>
          <w:sz w:val="28"/>
          <w:szCs w:val="28"/>
        </w:rPr>
        <w:t xml:space="preserve"> and </w:t>
      </w:r>
      <w:r w:rsidR="00D75161" w:rsidRPr="00CB2F78">
        <w:rPr>
          <w:sz w:val="28"/>
          <w:szCs w:val="28"/>
        </w:rPr>
        <w:t>T</w:t>
      </w:r>
      <w:r w:rsidR="00DD0467" w:rsidRPr="00CB2F78">
        <w:rPr>
          <w:sz w:val="28"/>
          <w:szCs w:val="28"/>
        </w:rPr>
        <w:t>echnology</w:t>
      </w:r>
      <w:r w:rsidR="00F2470F">
        <w:rPr>
          <w:sz w:val="28"/>
          <w:szCs w:val="28"/>
        </w:rPr>
        <w:t>,</w:t>
      </w:r>
      <w:r w:rsidR="00922209" w:rsidRPr="00CB2F78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an excellent performance </w:t>
      </w:r>
      <w:r w:rsidR="00922209" w:rsidRPr="00CB2F78">
        <w:rPr>
          <w:sz w:val="28"/>
          <w:szCs w:val="28"/>
        </w:rPr>
        <w:t>in Germany</w:t>
      </w:r>
      <w:r w:rsidR="006B13C0" w:rsidRPr="00CB2F78">
        <w:rPr>
          <w:sz w:val="28"/>
          <w:szCs w:val="28"/>
        </w:rPr>
        <w:t>.</w:t>
      </w:r>
      <w:r w:rsidR="006B13C0">
        <w:rPr>
          <w:sz w:val="28"/>
          <w:szCs w:val="28"/>
        </w:rPr>
        <w:t xml:space="preserve"> </w:t>
      </w:r>
    </w:p>
    <w:p w14:paraId="3155B303" w14:textId="7305165C" w:rsidR="006F565F" w:rsidRDefault="00922209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Group f</w:t>
      </w:r>
      <w:r w:rsidR="006F565F" w:rsidRPr="00071EA1">
        <w:rPr>
          <w:sz w:val="28"/>
          <w:szCs w:val="28"/>
        </w:rPr>
        <w:t xml:space="preserve">ees </w:t>
      </w:r>
      <w:r w:rsidR="006B13C0">
        <w:rPr>
          <w:sz w:val="28"/>
          <w:szCs w:val="28"/>
        </w:rPr>
        <w:t xml:space="preserve">grew by </w:t>
      </w:r>
      <w:r w:rsidR="00821930">
        <w:rPr>
          <w:sz w:val="28"/>
          <w:szCs w:val="28"/>
        </w:rPr>
        <w:t>5</w:t>
      </w:r>
      <w:r w:rsidR="006B13C0">
        <w:rPr>
          <w:sz w:val="28"/>
          <w:szCs w:val="28"/>
        </w:rPr>
        <w:t xml:space="preserve">%, </w:t>
      </w:r>
      <w:r w:rsidR="00DB4390">
        <w:rPr>
          <w:sz w:val="28"/>
          <w:szCs w:val="28"/>
        </w:rPr>
        <w:t xml:space="preserve">including a </w:t>
      </w:r>
      <w:r w:rsidR="00091DF3">
        <w:rPr>
          <w:sz w:val="28"/>
          <w:szCs w:val="28"/>
        </w:rPr>
        <w:t xml:space="preserve">monthly fee </w:t>
      </w:r>
      <w:r w:rsidR="00DB4390">
        <w:rPr>
          <w:sz w:val="28"/>
          <w:szCs w:val="28"/>
        </w:rPr>
        <w:t xml:space="preserve">record in </w:t>
      </w:r>
      <w:r w:rsidR="00CD4FB1">
        <w:rPr>
          <w:sz w:val="28"/>
          <w:szCs w:val="28"/>
        </w:rPr>
        <w:t>March</w:t>
      </w:r>
      <w:r w:rsidR="00DB4390">
        <w:rPr>
          <w:sz w:val="28"/>
          <w:szCs w:val="28"/>
        </w:rPr>
        <w:t xml:space="preserve">, </w:t>
      </w:r>
      <w:r w:rsidR="00C073B0">
        <w:rPr>
          <w:sz w:val="28"/>
          <w:szCs w:val="28"/>
        </w:rPr>
        <w:t xml:space="preserve">and our fee </w:t>
      </w:r>
      <w:r w:rsidR="00DB4390" w:rsidRPr="00012AE5">
        <w:rPr>
          <w:sz w:val="28"/>
          <w:szCs w:val="28"/>
        </w:rPr>
        <w:t xml:space="preserve">growth </w:t>
      </w:r>
      <w:r w:rsidR="00C073B0" w:rsidRPr="00012AE5">
        <w:rPr>
          <w:sz w:val="28"/>
          <w:szCs w:val="28"/>
        </w:rPr>
        <w:t xml:space="preserve">exit </w:t>
      </w:r>
      <w:r w:rsidR="00DB4390" w:rsidRPr="00012AE5">
        <w:rPr>
          <w:sz w:val="28"/>
          <w:szCs w:val="28"/>
        </w:rPr>
        <w:t xml:space="preserve">rate </w:t>
      </w:r>
      <w:r w:rsidR="00DB4390">
        <w:rPr>
          <w:sz w:val="28"/>
          <w:szCs w:val="28"/>
        </w:rPr>
        <w:t>was 4</w:t>
      </w:r>
      <w:r w:rsidR="00DB4390" w:rsidRPr="00012AE5">
        <w:rPr>
          <w:sz w:val="28"/>
          <w:szCs w:val="28"/>
        </w:rPr>
        <w:t>%</w:t>
      </w:r>
      <w:r w:rsidR="00DB4390">
        <w:rPr>
          <w:sz w:val="28"/>
          <w:szCs w:val="28"/>
        </w:rPr>
        <w:t>.</w:t>
      </w:r>
      <w:r w:rsidR="00CD4FB1">
        <w:rPr>
          <w:sz w:val="28"/>
          <w:szCs w:val="28"/>
        </w:rPr>
        <w:t xml:space="preserve"> </w:t>
      </w:r>
    </w:p>
    <w:p w14:paraId="57F52295" w14:textId="40500C3E" w:rsidR="006B3529" w:rsidRDefault="006B13C0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Growth was led by our </w:t>
      </w:r>
      <w:r w:rsidR="00C073B0">
        <w:rPr>
          <w:sz w:val="28"/>
          <w:szCs w:val="28"/>
        </w:rPr>
        <w:t xml:space="preserve">largest business, </w:t>
      </w:r>
      <w:r w:rsidR="00411E0D">
        <w:rPr>
          <w:sz w:val="28"/>
          <w:szCs w:val="28"/>
        </w:rPr>
        <w:t>Temp</w:t>
      </w:r>
      <w:r>
        <w:rPr>
          <w:sz w:val="28"/>
          <w:szCs w:val="28"/>
        </w:rPr>
        <w:t xml:space="preserve"> and Contracting</w:t>
      </w:r>
      <w:r w:rsidR="00C073B0">
        <w:rPr>
          <w:sz w:val="28"/>
          <w:szCs w:val="28"/>
        </w:rPr>
        <w:t>,</w:t>
      </w:r>
      <w:r w:rsidR="00411E0D">
        <w:rPr>
          <w:sz w:val="28"/>
          <w:szCs w:val="28"/>
        </w:rPr>
        <w:t xml:space="preserve"> </w:t>
      </w:r>
      <w:r w:rsidR="0081160B">
        <w:rPr>
          <w:sz w:val="28"/>
          <w:szCs w:val="28"/>
        </w:rPr>
        <w:t>which represented 5</w:t>
      </w:r>
      <w:r w:rsidR="00B72357">
        <w:rPr>
          <w:sz w:val="28"/>
          <w:szCs w:val="28"/>
        </w:rPr>
        <w:t>9</w:t>
      </w:r>
      <w:r w:rsidR="0081160B">
        <w:rPr>
          <w:sz w:val="28"/>
          <w:szCs w:val="28"/>
        </w:rPr>
        <w:t xml:space="preserve">% of Group fees, </w:t>
      </w:r>
      <w:r w:rsidR="00411E0D">
        <w:rPr>
          <w:sz w:val="28"/>
          <w:szCs w:val="28"/>
        </w:rPr>
        <w:t xml:space="preserve">up </w:t>
      </w:r>
      <w:r w:rsidR="00CD4FB1">
        <w:rPr>
          <w:sz w:val="28"/>
          <w:szCs w:val="28"/>
        </w:rPr>
        <w:t>1</w:t>
      </w:r>
      <w:r w:rsidR="003D0CC7">
        <w:rPr>
          <w:sz w:val="28"/>
          <w:szCs w:val="28"/>
        </w:rPr>
        <w:t>1</w:t>
      </w:r>
      <w:r w:rsidR="00411E0D">
        <w:rPr>
          <w:sz w:val="28"/>
          <w:szCs w:val="28"/>
        </w:rPr>
        <w:t>%</w:t>
      </w:r>
      <w:r w:rsidR="00C073B0">
        <w:rPr>
          <w:sz w:val="28"/>
          <w:szCs w:val="28"/>
        </w:rPr>
        <w:t xml:space="preserve">. </w:t>
      </w:r>
      <w:r w:rsidR="00180D87">
        <w:rPr>
          <w:sz w:val="28"/>
          <w:szCs w:val="28"/>
        </w:rPr>
        <w:t xml:space="preserve">Perm </w:t>
      </w:r>
      <w:r w:rsidR="00C073B0">
        <w:rPr>
          <w:sz w:val="28"/>
          <w:szCs w:val="28"/>
        </w:rPr>
        <w:t xml:space="preserve">fees decreased by </w:t>
      </w:r>
      <w:r w:rsidR="00CD4FB1">
        <w:rPr>
          <w:sz w:val="28"/>
          <w:szCs w:val="28"/>
        </w:rPr>
        <w:t>2</w:t>
      </w:r>
      <w:r w:rsidR="00180D87">
        <w:rPr>
          <w:sz w:val="28"/>
          <w:szCs w:val="28"/>
        </w:rPr>
        <w:t>%</w:t>
      </w:r>
      <w:r w:rsidR="00CD4FB1">
        <w:rPr>
          <w:sz w:val="28"/>
          <w:szCs w:val="28"/>
        </w:rPr>
        <w:t xml:space="preserve">, </w:t>
      </w:r>
      <w:r w:rsidR="00C073B0">
        <w:rPr>
          <w:sz w:val="28"/>
          <w:szCs w:val="28"/>
        </w:rPr>
        <w:t xml:space="preserve">as </w:t>
      </w:r>
      <w:r w:rsidR="00FA599D">
        <w:rPr>
          <w:sz w:val="28"/>
          <w:szCs w:val="28"/>
        </w:rPr>
        <w:t xml:space="preserve">activity levels reduced through the quarter, </w:t>
      </w:r>
      <w:r w:rsidR="002F7B29" w:rsidRPr="002F7B29">
        <w:rPr>
          <w:sz w:val="28"/>
          <w:szCs w:val="28"/>
        </w:rPr>
        <w:t>driven by reduced client and candidate confidence</w:t>
      </w:r>
      <w:r w:rsidR="0081160B">
        <w:rPr>
          <w:sz w:val="28"/>
          <w:szCs w:val="28"/>
        </w:rPr>
        <w:t xml:space="preserve">, leading </w:t>
      </w:r>
      <w:r w:rsidR="00C073B0">
        <w:rPr>
          <w:sz w:val="28"/>
          <w:szCs w:val="28"/>
        </w:rPr>
        <w:t xml:space="preserve">to </w:t>
      </w:r>
      <w:r w:rsidR="00FA599D">
        <w:rPr>
          <w:sz w:val="28"/>
          <w:szCs w:val="28"/>
        </w:rPr>
        <w:t xml:space="preserve">a </w:t>
      </w:r>
      <w:r w:rsidR="00E67A6C">
        <w:rPr>
          <w:sz w:val="28"/>
          <w:szCs w:val="28"/>
        </w:rPr>
        <w:t xml:space="preserve">lengthening </w:t>
      </w:r>
      <w:r w:rsidR="00FA599D">
        <w:rPr>
          <w:sz w:val="28"/>
          <w:szCs w:val="28"/>
        </w:rPr>
        <w:t xml:space="preserve">in </w:t>
      </w:r>
      <w:r w:rsidR="00E67A6C">
        <w:rPr>
          <w:sz w:val="28"/>
          <w:szCs w:val="28"/>
        </w:rPr>
        <w:t xml:space="preserve">‘time-to-hire’ in most </w:t>
      </w:r>
      <w:r w:rsidR="00FA599D">
        <w:rPr>
          <w:sz w:val="28"/>
          <w:szCs w:val="28"/>
        </w:rPr>
        <w:t>P</w:t>
      </w:r>
      <w:r w:rsidR="00E67A6C">
        <w:rPr>
          <w:sz w:val="28"/>
          <w:szCs w:val="28"/>
        </w:rPr>
        <w:t>erm markets</w:t>
      </w:r>
      <w:r>
        <w:rPr>
          <w:sz w:val="28"/>
          <w:szCs w:val="28"/>
        </w:rPr>
        <w:t>.</w:t>
      </w:r>
      <w:r w:rsidR="00E67A6C">
        <w:rPr>
          <w:sz w:val="28"/>
          <w:szCs w:val="28"/>
        </w:rPr>
        <w:t xml:space="preserve"> </w:t>
      </w:r>
    </w:p>
    <w:p w14:paraId="4106C024" w14:textId="448DF00C" w:rsidR="00893FED" w:rsidRPr="00CF7DBE" w:rsidRDefault="00673745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CF7DBE">
        <w:rPr>
          <w:sz w:val="28"/>
          <w:szCs w:val="28"/>
        </w:rPr>
        <w:t>C</w:t>
      </w:r>
      <w:r w:rsidR="00671F25" w:rsidRPr="00CF7DBE">
        <w:rPr>
          <w:sz w:val="28"/>
          <w:szCs w:val="28"/>
        </w:rPr>
        <w:t xml:space="preserve">urrency translation had a </w:t>
      </w:r>
      <w:r w:rsidR="00C6170C">
        <w:rPr>
          <w:sz w:val="28"/>
          <w:szCs w:val="28"/>
        </w:rPr>
        <w:t>positive</w:t>
      </w:r>
      <w:r w:rsidR="00B45B60" w:rsidRPr="00CF7DBE">
        <w:rPr>
          <w:sz w:val="28"/>
          <w:szCs w:val="28"/>
        </w:rPr>
        <w:t xml:space="preserve"> </w:t>
      </w:r>
      <w:r w:rsidR="00BE3CD7" w:rsidRPr="00CF7DBE">
        <w:rPr>
          <w:sz w:val="28"/>
          <w:szCs w:val="28"/>
        </w:rPr>
        <w:t xml:space="preserve">impact, </w:t>
      </w:r>
      <w:r w:rsidR="00C6170C">
        <w:rPr>
          <w:sz w:val="28"/>
          <w:szCs w:val="28"/>
        </w:rPr>
        <w:t>in</w:t>
      </w:r>
      <w:r w:rsidR="00680599">
        <w:rPr>
          <w:sz w:val="28"/>
          <w:szCs w:val="28"/>
        </w:rPr>
        <w:t>creasing</w:t>
      </w:r>
      <w:r w:rsidR="00C0436B" w:rsidRPr="00CF7DBE">
        <w:rPr>
          <w:sz w:val="28"/>
          <w:szCs w:val="28"/>
        </w:rPr>
        <w:t xml:space="preserve"> </w:t>
      </w:r>
      <w:r w:rsidR="00671F25" w:rsidRPr="00CF7DBE">
        <w:rPr>
          <w:sz w:val="28"/>
          <w:szCs w:val="28"/>
        </w:rPr>
        <w:t xml:space="preserve">headline net fees by </w:t>
      </w:r>
      <w:r w:rsidR="00680599">
        <w:rPr>
          <w:sz w:val="28"/>
          <w:szCs w:val="28"/>
        </w:rPr>
        <w:t>5</w:t>
      </w:r>
      <w:r w:rsidR="00671F25" w:rsidRPr="00CF7DBE">
        <w:rPr>
          <w:sz w:val="28"/>
          <w:szCs w:val="28"/>
        </w:rPr>
        <w:t>%.</w:t>
      </w:r>
      <w:r w:rsidRPr="00CF7DBE">
        <w:rPr>
          <w:sz w:val="28"/>
          <w:szCs w:val="28"/>
        </w:rPr>
        <w:t xml:space="preserve"> </w:t>
      </w:r>
    </w:p>
    <w:p w14:paraId="4C396B9A" w14:textId="77777777" w:rsidR="00FA599D" w:rsidRDefault="00FA599D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14:paraId="3B05EB83" w14:textId="4ACD977D" w:rsidR="001F21B0" w:rsidRPr="00CF7DBE" w:rsidRDefault="00FA3179" w:rsidP="001F21B0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CF7DBE">
        <w:rPr>
          <w:sz w:val="28"/>
          <w:szCs w:val="28"/>
        </w:rPr>
        <w:lastRenderedPageBreak/>
        <w:t>I</w:t>
      </w:r>
      <w:r w:rsidR="00CB2F78">
        <w:rPr>
          <w:sz w:val="28"/>
          <w:szCs w:val="28"/>
        </w:rPr>
        <w:t xml:space="preserve"> would</w:t>
      </w:r>
      <w:r w:rsidRPr="00CF7DBE">
        <w:rPr>
          <w:sz w:val="28"/>
          <w:szCs w:val="28"/>
        </w:rPr>
        <w:t xml:space="preserve"> highlight the following:</w:t>
      </w:r>
    </w:p>
    <w:p w14:paraId="288359E4" w14:textId="70FAE3AB" w:rsidR="0024420F" w:rsidRPr="0024420F" w:rsidRDefault="00031346" w:rsidP="0024420F">
      <w:pPr>
        <w:pStyle w:val="BodyText"/>
        <w:numPr>
          <w:ilvl w:val="0"/>
          <w:numId w:val="23"/>
        </w:numPr>
        <w:spacing w:before="100" w:beforeAutospacing="1" w:after="120"/>
        <w:ind w:left="993" w:right="64" w:hanging="567"/>
        <w:jc w:val="both"/>
        <w:rPr>
          <w:sz w:val="28"/>
          <w:szCs w:val="28"/>
        </w:rPr>
      </w:pPr>
      <w:r>
        <w:rPr>
          <w:sz w:val="28"/>
          <w:szCs w:val="28"/>
        </w:rPr>
        <w:t>With Temp volumes down 2% overall, our g</w:t>
      </w:r>
      <w:r w:rsidR="0024420F" w:rsidRPr="0024420F">
        <w:rPr>
          <w:sz w:val="28"/>
          <w:szCs w:val="28"/>
        </w:rPr>
        <w:t xml:space="preserve">rowth </w:t>
      </w:r>
      <w:r w:rsidR="00643B17">
        <w:rPr>
          <w:sz w:val="28"/>
          <w:szCs w:val="28"/>
        </w:rPr>
        <w:t xml:space="preserve">in Temp </w:t>
      </w:r>
      <w:r w:rsidR="0024420F" w:rsidRPr="00FA599D">
        <w:rPr>
          <w:sz w:val="28"/>
          <w:szCs w:val="28"/>
        </w:rPr>
        <w:t xml:space="preserve">was </w:t>
      </w:r>
      <w:r w:rsidR="00F2470F" w:rsidRPr="00FA599D">
        <w:rPr>
          <w:sz w:val="28"/>
          <w:szCs w:val="28"/>
        </w:rPr>
        <w:t xml:space="preserve">again </w:t>
      </w:r>
      <w:r w:rsidR="0024420F" w:rsidRPr="00FA599D">
        <w:rPr>
          <w:sz w:val="28"/>
          <w:szCs w:val="28"/>
        </w:rPr>
        <w:t>driven</w:t>
      </w:r>
      <w:r w:rsidR="0024420F" w:rsidRPr="0024420F">
        <w:rPr>
          <w:sz w:val="28"/>
          <w:szCs w:val="28"/>
        </w:rPr>
        <w:t xml:space="preserve"> by our actions to increase fee margins and our focus on higher value markets, together with the positive effects of wage inflation. </w:t>
      </w:r>
    </w:p>
    <w:p w14:paraId="789F4115" w14:textId="528C004C" w:rsidR="00012AE5" w:rsidRPr="00492228" w:rsidRDefault="00C073B0" w:rsidP="0024420F">
      <w:pPr>
        <w:pStyle w:val="BodyText"/>
        <w:numPr>
          <w:ilvl w:val="0"/>
          <w:numId w:val="23"/>
        </w:numPr>
        <w:spacing w:before="100" w:beforeAutospacing="1" w:after="120"/>
        <w:ind w:left="993" w:right="64" w:hanging="567"/>
        <w:jc w:val="both"/>
        <w:rPr>
          <w:spacing w:val="-2"/>
          <w:sz w:val="28"/>
          <w:szCs w:val="28"/>
        </w:rPr>
      </w:pPr>
      <w:r w:rsidRPr="00C073B0">
        <w:rPr>
          <w:spacing w:val="-2"/>
          <w:sz w:val="28"/>
          <w:szCs w:val="28"/>
        </w:rPr>
        <w:t>O</w:t>
      </w:r>
      <w:r w:rsidR="0024420F" w:rsidRPr="00C073B0">
        <w:rPr>
          <w:spacing w:val="-2"/>
          <w:sz w:val="28"/>
          <w:szCs w:val="28"/>
        </w:rPr>
        <w:t>verall Perm volumes decrease</w:t>
      </w:r>
      <w:r w:rsidR="003D0CC7">
        <w:rPr>
          <w:spacing w:val="-2"/>
          <w:sz w:val="28"/>
          <w:szCs w:val="28"/>
        </w:rPr>
        <w:t>d</w:t>
      </w:r>
      <w:r w:rsidR="0024420F" w:rsidRPr="00C073B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by </w:t>
      </w:r>
      <w:r w:rsidR="003D0CC7">
        <w:rPr>
          <w:spacing w:val="-2"/>
          <w:sz w:val="28"/>
          <w:szCs w:val="28"/>
        </w:rPr>
        <w:t>1</w:t>
      </w:r>
      <w:r w:rsidR="00031346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%</w:t>
      </w:r>
      <w:r w:rsidR="0024420F" w:rsidRPr="00C073B0">
        <w:rPr>
          <w:spacing w:val="-2"/>
          <w:sz w:val="28"/>
          <w:szCs w:val="28"/>
        </w:rPr>
        <w:t xml:space="preserve"> </w:t>
      </w:r>
      <w:r w:rsidR="0081160B">
        <w:rPr>
          <w:spacing w:val="-2"/>
          <w:sz w:val="28"/>
          <w:szCs w:val="28"/>
        </w:rPr>
        <w:t>partially offset by continued increase in average Perm fee, up 9%</w:t>
      </w:r>
      <w:r w:rsidR="00DD0467" w:rsidRPr="00C073B0">
        <w:rPr>
          <w:spacing w:val="-2"/>
          <w:sz w:val="28"/>
          <w:szCs w:val="28"/>
        </w:rPr>
        <w:t>.</w:t>
      </w:r>
      <w:r w:rsidR="0024420F" w:rsidRPr="00492228">
        <w:rPr>
          <w:spacing w:val="-2"/>
          <w:sz w:val="28"/>
          <w:szCs w:val="28"/>
        </w:rPr>
        <w:t xml:space="preserve"> </w:t>
      </w:r>
    </w:p>
    <w:p w14:paraId="47C2EA7C" w14:textId="03CF55CD" w:rsidR="006D078D" w:rsidRPr="00031346" w:rsidRDefault="00F21E28" w:rsidP="000D3792">
      <w:pPr>
        <w:pStyle w:val="BodyText"/>
        <w:numPr>
          <w:ilvl w:val="0"/>
          <w:numId w:val="23"/>
        </w:numPr>
        <w:spacing w:before="100" w:beforeAutospacing="1" w:after="120"/>
        <w:ind w:left="993" w:right="64" w:hanging="567"/>
        <w:jc w:val="both"/>
        <w:rPr>
          <w:sz w:val="28"/>
          <w:szCs w:val="28"/>
        </w:rPr>
      </w:pPr>
      <w:r w:rsidRPr="00031346">
        <w:rPr>
          <w:sz w:val="28"/>
          <w:szCs w:val="28"/>
        </w:rPr>
        <w:t xml:space="preserve">We delivered quarterly fee records in </w:t>
      </w:r>
      <w:r w:rsidR="00031346" w:rsidRPr="00031346">
        <w:rPr>
          <w:sz w:val="28"/>
          <w:szCs w:val="28"/>
        </w:rPr>
        <w:t>8</w:t>
      </w:r>
      <w:r w:rsidRPr="00031346">
        <w:rPr>
          <w:sz w:val="28"/>
          <w:szCs w:val="28"/>
        </w:rPr>
        <w:t xml:space="preserve"> countries, including a standout performance in our largest business of Germany</w:t>
      </w:r>
      <w:r w:rsidR="00527945" w:rsidRPr="00031346">
        <w:rPr>
          <w:sz w:val="28"/>
          <w:szCs w:val="28"/>
        </w:rPr>
        <w:t xml:space="preserve">, </w:t>
      </w:r>
      <w:r w:rsidR="0081160B">
        <w:rPr>
          <w:sz w:val="28"/>
          <w:szCs w:val="28"/>
        </w:rPr>
        <w:t xml:space="preserve">up 23%, </w:t>
      </w:r>
      <w:proofErr w:type="gramStart"/>
      <w:r w:rsidR="00527945" w:rsidRPr="00031346">
        <w:rPr>
          <w:sz w:val="28"/>
          <w:szCs w:val="28"/>
        </w:rPr>
        <w:t>and also</w:t>
      </w:r>
      <w:proofErr w:type="gramEnd"/>
      <w:r w:rsidR="00527945" w:rsidRPr="00031346">
        <w:rPr>
          <w:sz w:val="28"/>
          <w:szCs w:val="28"/>
        </w:rPr>
        <w:t xml:space="preserve"> EMEA</w:t>
      </w:r>
      <w:r w:rsidR="00CD2566" w:rsidRPr="00031346">
        <w:rPr>
          <w:sz w:val="28"/>
          <w:szCs w:val="28"/>
        </w:rPr>
        <w:t>.</w:t>
      </w:r>
      <w:r w:rsidR="0024420F" w:rsidRPr="00031346">
        <w:rPr>
          <w:sz w:val="28"/>
          <w:szCs w:val="28"/>
        </w:rPr>
        <w:t xml:space="preserve"> </w:t>
      </w:r>
      <w:r w:rsidR="005D57FA" w:rsidRPr="00031346">
        <w:rPr>
          <w:sz w:val="28"/>
          <w:szCs w:val="28"/>
        </w:rPr>
        <w:t>O</w:t>
      </w:r>
      <w:r w:rsidR="006D078D" w:rsidRPr="00031346">
        <w:rPr>
          <w:sz w:val="28"/>
          <w:szCs w:val="28"/>
        </w:rPr>
        <w:t xml:space="preserve">ur largest global </w:t>
      </w:r>
      <w:r w:rsidR="005D57FA" w:rsidRPr="00031346">
        <w:rPr>
          <w:sz w:val="28"/>
          <w:szCs w:val="28"/>
        </w:rPr>
        <w:t xml:space="preserve">specialism of Technology, </w:t>
      </w:r>
      <w:r w:rsidR="00DF4E7C" w:rsidRPr="00031346">
        <w:rPr>
          <w:sz w:val="28"/>
          <w:szCs w:val="28"/>
        </w:rPr>
        <w:t>2</w:t>
      </w:r>
      <w:r w:rsidR="004E3E68" w:rsidRPr="00031346">
        <w:rPr>
          <w:sz w:val="28"/>
          <w:szCs w:val="28"/>
        </w:rPr>
        <w:t>6</w:t>
      </w:r>
      <w:r w:rsidR="00DF4E7C" w:rsidRPr="00031346">
        <w:rPr>
          <w:sz w:val="28"/>
          <w:szCs w:val="28"/>
        </w:rPr>
        <w:t>%</w:t>
      </w:r>
      <w:r w:rsidR="006D078D" w:rsidRPr="00031346">
        <w:rPr>
          <w:sz w:val="28"/>
          <w:szCs w:val="28"/>
        </w:rPr>
        <w:t xml:space="preserve"> of Group fees, </w:t>
      </w:r>
      <w:r w:rsidR="0024420F" w:rsidRPr="00031346">
        <w:rPr>
          <w:sz w:val="28"/>
          <w:szCs w:val="28"/>
        </w:rPr>
        <w:t xml:space="preserve">also </w:t>
      </w:r>
      <w:r w:rsidR="006D078D" w:rsidRPr="00031346">
        <w:rPr>
          <w:sz w:val="28"/>
          <w:szCs w:val="28"/>
        </w:rPr>
        <w:t>delivered another record quarter, with fees up</w:t>
      </w:r>
      <w:r w:rsidR="004E3E68" w:rsidRPr="00031346">
        <w:rPr>
          <w:sz w:val="28"/>
          <w:szCs w:val="28"/>
        </w:rPr>
        <w:t xml:space="preserve"> </w:t>
      </w:r>
      <w:r w:rsidR="00031346" w:rsidRPr="00031346">
        <w:rPr>
          <w:sz w:val="28"/>
          <w:szCs w:val="28"/>
        </w:rPr>
        <w:t>8</w:t>
      </w:r>
      <w:r w:rsidR="004E3E68" w:rsidRPr="00031346">
        <w:rPr>
          <w:sz w:val="28"/>
          <w:szCs w:val="28"/>
        </w:rPr>
        <w:t>%</w:t>
      </w:r>
      <w:r w:rsidR="0061587F" w:rsidRPr="00031346">
        <w:rPr>
          <w:sz w:val="28"/>
          <w:szCs w:val="28"/>
        </w:rPr>
        <w:t>.</w:t>
      </w:r>
      <w:r w:rsidR="006D078D" w:rsidRPr="00031346">
        <w:rPr>
          <w:sz w:val="28"/>
          <w:szCs w:val="28"/>
        </w:rPr>
        <w:t xml:space="preserve"> </w:t>
      </w:r>
      <w:r w:rsidR="00963FA1" w:rsidRPr="00031346">
        <w:rPr>
          <w:sz w:val="28"/>
          <w:szCs w:val="28"/>
        </w:rPr>
        <w:t>W</w:t>
      </w:r>
      <w:r w:rsidR="004224A9" w:rsidRPr="00031346">
        <w:rPr>
          <w:sz w:val="28"/>
          <w:szCs w:val="28"/>
        </w:rPr>
        <w:t xml:space="preserve">e </w:t>
      </w:r>
      <w:r w:rsidR="00031346">
        <w:rPr>
          <w:sz w:val="28"/>
          <w:szCs w:val="28"/>
        </w:rPr>
        <w:t>also saw</w:t>
      </w:r>
      <w:r w:rsidR="00963FA1" w:rsidRPr="00031346">
        <w:rPr>
          <w:sz w:val="28"/>
          <w:szCs w:val="28"/>
        </w:rPr>
        <w:t xml:space="preserve"> </w:t>
      </w:r>
      <w:r w:rsidR="0081160B">
        <w:rPr>
          <w:sz w:val="28"/>
          <w:szCs w:val="28"/>
        </w:rPr>
        <w:t xml:space="preserve">an </w:t>
      </w:r>
      <w:r w:rsidR="00963FA1" w:rsidRPr="00031346">
        <w:rPr>
          <w:sz w:val="28"/>
          <w:szCs w:val="28"/>
        </w:rPr>
        <w:t xml:space="preserve">excellent performance in our Engineering business, up </w:t>
      </w:r>
      <w:r w:rsidR="00031346">
        <w:rPr>
          <w:sz w:val="28"/>
          <w:szCs w:val="28"/>
        </w:rPr>
        <w:t>23</w:t>
      </w:r>
      <w:r w:rsidR="00963FA1" w:rsidRPr="00031346">
        <w:rPr>
          <w:sz w:val="28"/>
          <w:szCs w:val="28"/>
        </w:rPr>
        <w:t xml:space="preserve">% and now </w:t>
      </w:r>
      <w:r w:rsidR="00031346" w:rsidRPr="00031346">
        <w:rPr>
          <w:sz w:val="28"/>
          <w:szCs w:val="28"/>
        </w:rPr>
        <w:t xml:space="preserve">our third largest specialism at </w:t>
      </w:r>
      <w:r w:rsidR="00963FA1" w:rsidRPr="00031346">
        <w:rPr>
          <w:sz w:val="28"/>
          <w:szCs w:val="28"/>
        </w:rPr>
        <w:t>1</w:t>
      </w:r>
      <w:r w:rsidR="00031346" w:rsidRPr="00031346">
        <w:rPr>
          <w:sz w:val="28"/>
          <w:szCs w:val="28"/>
        </w:rPr>
        <w:t>1</w:t>
      </w:r>
      <w:r w:rsidR="00963FA1" w:rsidRPr="00031346">
        <w:rPr>
          <w:sz w:val="28"/>
          <w:szCs w:val="28"/>
        </w:rPr>
        <w:t>% of Group fees.</w:t>
      </w:r>
      <w:r w:rsidR="00031346" w:rsidRPr="00031346">
        <w:rPr>
          <w:sz w:val="28"/>
          <w:szCs w:val="28"/>
        </w:rPr>
        <w:t xml:space="preserve"> </w:t>
      </w:r>
    </w:p>
    <w:p w14:paraId="62CE9EC9" w14:textId="7E3B49DC" w:rsidR="00544FC7" w:rsidRDefault="001D731A" w:rsidP="00176FC0">
      <w:pPr>
        <w:pStyle w:val="BodyText"/>
        <w:numPr>
          <w:ilvl w:val="0"/>
          <w:numId w:val="23"/>
        </w:numPr>
        <w:spacing w:before="100" w:beforeAutospacing="1" w:after="120"/>
        <w:ind w:left="993" w:right="64" w:hanging="567"/>
        <w:jc w:val="both"/>
        <w:rPr>
          <w:sz w:val="28"/>
          <w:szCs w:val="28"/>
        </w:rPr>
      </w:pPr>
      <w:r w:rsidRPr="00544FC7">
        <w:rPr>
          <w:sz w:val="28"/>
          <w:szCs w:val="28"/>
        </w:rPr>
        <w:t xml:space="preserve">Group consultant headcount decreased by </w:t>
      </w:r>
      <w:r w:rsidR="00031346">
        <w:rPr>
          <w:sz w:val="28"/>
          <w:szCs w:val="28"/>
        </w:rPr>
        <w:t>2</w:t>
      </w:r>
      <w:r w:rsidRPr="00544FC7">
        <w:rPr>
          <w:sz w:val="28"/>
          <w:szCs w:val="28"/>
        </w:rPr>
        <w:t xml:space="preserve">% in the quarter, </w:t>
      </w:r>
      <w:r w:rsidR="0081160B">
        <w:rPr>
          <w:sz w:val="28"/>
          <w:szCs w:val="28"/>
        </w:rPr>
        <w:t>as we continued to align our consultant capacity to the underlying levels of activity and demand in each of our markets</w:t>
      </w:r>
      <w:r w:rsidR="00643B17">
        <w:rPr>
          <w:sz w:val="28"/>
          <w:szCs w:val="28"/>
        </w:rPr>
        <w:t xml:space="preserve">. Consultant headcount </w:t>
      </w:r>
      <w:r w:rsidRPr="00544FC7">
        <w:rPr>
          <w:sz w:val="28"/>
          <w:szCs w:val="28"/>
        </w:rPr>
        <w:t xml:space="preserve">increased by </w:t>
      </w:r>
      <w:r w:rsidR="00031346">
        <w:rPr>
          <w:sz w:val="28"/>
          <w:szCs w:val="28"/>
        </w:rPr>
        <w:t>4</w:t>
      </w:r>
      <w:r w:rsidRPr="00544FC7">
        <w:rPr>
          <w:sz w:val="28"/>
          <w:szCs w:val="28"/>
        </w:rPr>
        <w:t>% year-on-year</w:t>
      </w:r>
      <w:r w:rsidR="00CB2F78">
        <w:rPr>
          <w:sz w:val="28"/>
          <w:szCs w:val="28"/>
        </w:rPr>
        <w:t xml:space="preserve">, </w:t>
      </w:r>
      <w:r w:rsidR="0081160B">
        <w:rPr>
          <w:sz w:val="28"/>
          <w:szCs w:val="28"/>
        </w:rPr>
        <w:t>exiting the quarter in line with fee growth, with average consultant productivity at good levels</w:t>
      </w:r>
      <w:r w:rsidR="00DD0467">
        <w:rPr>
          <w:sz w:val="28"/>
          <w:szCs w:val="28"/>
        </w:rPr>
        <w:t>.</w:t>
      </w:r>
    </w:p>
    <w:p w14:paraId="5D17A8AC" w14:textId="52B4A056" w:rsidR="003613BC" w:rsidRPr="00DB0497" w:rsidRDefault="001D6B82" w:rsidP="00ED7B82">
      <w:pPr>
        <w:pStyle w:val="BodyText"/>
        <w:numPr>
          <w:ilvl w:val="0"/>
          <w:numId w:val="23"/>
        </w:numPr>
        <w:spacing w:before="100" w:beforeAutospacing="1" w:after="120"/>
        <w:ind w:left="993" w:right="64" w:hanging="567"/>
        <w:jc w:val="both"/>
        <w:rPr>
          <w:sz w:val="28"/>
          <w:szCs w:val="28"/>
        </w:rPr>
      </w:pPr>
      <w:r w:rsidRPr="00DB0497">
        <w:rPr>
          <w:sz w:val="28"/>
          <w:szCs w:val="28"/>
        </w:rPr>
        <w:t xml:space="preserve">Our cash performance was </w:t>
      </w:r>
      <w:r w:rsidR="00DB0497" w:rsidRPr="00DB0497">
        <w:rPr>
          <w:sz w:val="28"/>
          <w:szCs w:val="28"/>
        </w:rPr>
        <w:t>solid</w:t>
      </w:r>
      <w:r w:rsidRPr="00DB0497">
        <w:rPr>
          <w:sz w:val="28"/>
          <w:szCs w:val="28"/>
        </w:rPr>
        <w:t xml:space="preserve">, </w:t>
      </w:r>
      <w:r w:rsidR="00DB0497">
        <w:rPr>
          <w:sz w:val="28"/>
          <w:szCs w:val="28"/>
        </w:rPr>
        <w:t>with debtor days unchanged at low levels. O</w:t>
      </w:r>
      <w:r w:rsidRPr="00DB0497">
        <w:rPr>
          <w:sz w:val="28"/>
          <w:szCs w:val="28"/>
        </w:rPr>
        <w:t xml:space="preserve">ur </w:t>
      </w:r>
      <w:r w:rsidR="00A62A48" w:rsidRPr="00DB0497">
        <w:rPr>
          <w:sz w:val="28"/>
          <w:szCs w:val="28"/>
        </w:rPr>
        <w:t>3</w:t>
      </w:r>
      <w:r w:rsidR="001D731A" w:rsidRPr="00DB0497">
        <w:rPr>
          <w:sz w:val="28"/>
          <w:szCs w:val="28"/>
        </w:rPr>
        <w:t>1</w:t>
      </w:r>
      <w:r w:rsidR="001D731A" w:rsidRPr="00DB0497">
        <w:rPr>
          <w:sz w:val="28"/>
          <w:szCs w:val="28"/>
          <w:vertAlign w:val="superscript"/>
        </w:rPr>
        <w:t>st</w:t>
      </w:r>
      <w:r w:rsidR="001D731A" w:rsidRPr="00DB0497">
        <w:rPr>
          <w:sz w:val="28"/>
          <w:szCs w:val="28"/>
        </w:rPr>
        <w:t xml:space="preserve"> </w:t>
      </w:r>
      <w:r w:rsidR="00CD7164" w:rsidRPr="00DB0497">
        <w:rPr>
          <w:sz w:val="28"/>
          <w:szCs w:val="28"/>
        </w:rPr>
        <w:t>March</w:t>
      </w:r>
      <w:r w:rsidR="00A62A48" w:rsidRPr="00DB0497">
        <w:rPr>
          <w:sz w:val="28"/>
          <w:szCs w:val="28"/>
        </w:rPr>
        <w:t xml:space="preserve"> net </w:t>
      </w:r>
      <w:r w:rsidR="00352E99" w:rsidRPr="00DB0497">
        <w:rPr>
          <w:sz w:val="28"/>
          <w:szCs w:val="28"/>
        </w:rPr>
        <w:t xml:space="preserve">cash </w:t>
      </w:r>
      <w:r w:rsidR="00A62A48" w:rsidRPr="00DB0497">
        <w:rPr>
          <w:sz w:val="28"/>
          <w:szCs w:val="28"/>
        </w:rPr>
        <w:t>position was c</w:t>
      </w:r>
      <w:r w:rsidR="00352E99" w:rsidRPr="00DB0497">
        <w:rPr>
          <w:sz w:val="28"/>
          <w:szCs w:val="28"/>
        </w:rPr>
        <w:t>.</w:t>
      </w:r>
      <w:r w:rsidR="001B48C1" w:rsidRPr="00DB0497">
        <w:rPr>
          <w:sz w:val="28"/>
          <w:szCs w:val="28"/>
        </w:rPr>
        <w:t>£</w:t>
      </w:r>
      <w:r w:rsidR="00DB0497" w:rsidRPr="00DB0497">
        <w:rPr>
          <w:sz w:val="28"/>
          <w:szCs w:val="28"/>
        </w:rPr>
        <w:t>80</w:t>
      </w:r>
      <w:r w:rsidR="00A976CE" w:rsidRPr="00DB0497">
        <w:rPr>
          <w:sz w:val="28"/>
          <w:szCs w:val="28"/>
        </w:rPr>
        <w:t>m</w:t>
      </w:r>
      <w:r w:rsidR="00BB68A7" w:rsidRPr="00DB0497">
        <w:rPr>
          <w:sz w:val="28"/>
          <w:szCs w:val="28"/>
        </w:rPr>
        <w:t xml:space="preserve">, </w:t>
      </w:r>
      <w:r w:rsidR="00FC784E" w:rsidRPr="00DB0497">
        <w:rPr>
          <w:sz w:val="28"/>
          <w:szCs w:val="28"/>
        </w:rPr>
        <w:t xml:space="preserve">in line with our expectations, </w:t>
      </w:r>
      <w:r w:rsidR="00F21E28" w:rsidRPr="00DB0497">
        <w:rPr>
          <w:sz w:val="28"/>
          <w:szCs w:val="28"/>
        </w:rPr>
        <w:t>a</w:t>
      </w:r>
      <w:r w:rsidR="00A41D1D" w:rsidRPr="00DB0497">
        <w:rPr>
          <w:sz w:val="28"/>
          <w:szCs w:val="28"/>
        </w:rPr>
        <w:t>fter</w:t>
      </w:r>
      <w:r w:rsidR="005D57FA" w:rsidRPr="00DB0497">
        <w:rPr>
          <w:sz w:val="28"/>
          <w:szCs w:val="28"/>
        </w:rPr>
        <w:t xml:space="preserve"> </w:t>
      </w:r>
      <w:r w:rsidR="001D731A" w:rsidRPr="00DB0497">
        <w:rPr>
          <w:sz w:val="28"/>
          <w:szCs w:val="28"/>
        </w:rPr>
        <w:t>c.£1</w:t>
      </w:r>
      <w:r w:rsidR="00DB0497" w:rsidRPr="00DB0497">
        <w:rPr>
          <w:sz w:val="28"/>
          <w:szCs w:val="28"/>
        </w:rPr>
        <w:t>2</w:t>
      </w:r>
      <w:r w:rsidR="001D731A" w:rsidRPr="00DB0497">
        <w:rPr>
          <w:sz w:val="28"/>
          <w:szCs w:val="28"/>
        </w:rPr>
        <w:t xml:space="preserve">m </w:t>
      </w:r>
      <w:r w:rsidRPr="00DB0497">
        <w:rPr>
          <w:sz w:val="28"/>
          <w:szCs w:val="28"/>
        </w:rPr>
        <w:t>i</w:t>
      </w:r>
      <w:r w:rsidR="00B756C7" w:rsidRPr="00DB0497">
        <w:rPr>
          <w:sz w:val="28"/>
          <w:szCs w:val="28"/>
        </w:rPr>
        <w:t xml:space="preserve">n share buybacks in </w:t>
      </w:r>
      <w:r w:rsidR="002D671E" w:rsidRPr="00DB0497">
        <w:rPr>
          <w:sz w:val="28"/>
          <w:szCs w:val="28"/>
        </w:rPr>
        <w:t>the quarter</w:t>
      </w:r>
      <w:r w:rsidR="001D731A" w:rsidRPr="00DB0497">
        <w:rPr>
          <w:sz w:val="28"/>
          <w:szCs w:val="28"/>
        </w:rPr>
        <w:t>.</w:t>
      </w:r>
      <w:r w:rsidR="00FC784E" w:rsidRPr="00DB0497">
        <w:rPr>
          <w:sz w:val="28"/>
          <w:szCs w:val="28"/>
        </w:rPr>
        <w:t xml:space="preserve"> </w:t>
      </w:r>
    </w:p>
    <w:p w14:paraId="18784423" w14:textId="77777777" w:rsidR="00FA599D" w:rsidRDefault="00FA599D" w:rsidP="00ED7B82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</w:p>
    <w:p w14:paraId="34ACCFDF" w14:textId="11BCF10D" w:rsidR="004E07F4" w:rsidRPr="0068402A" w:rsidRDefault="00DD5B94" w:rsidP="00ED7B82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68402A">
        <w:rPr>
          <w:sz w:val="28"/>
          <w:szCs w:val="28"/>
        </w:rPr>
        <w:t xml:space="preserve">I will now comment on the performance by each </w:t>
      </w:r>
      <w:r w:rsidR="007732EF" w:rsidRPr="0068402A">
        <w:rPr>
          <w:sz w:val="28"/>
          <w:szCs w:val="28"/>
        </w:rPr>
        <w:t xml:space="preserve">division </w:t>
      </w:r>
      <w:r w:rsidRPr="0068402A">
        <w:rPr>
          <w:sz w:val="28"/>
          <w:szCs w:val="28"/>
        </w:rPr>
        <w:t xml:space="preserve">in more </w:t>
      </w:r>
      <w:r w:rsidR="006B1458" w:rsidRPr="0068402A">
        <w:rPr>
          <w:sz w:val="28"/>
          <w:szCs w:val="28"/>
        </w:rPr>
        <w:t>detail.</w:t>
      </w:r>
      <w:r w:rsidR="00367EB0">
        <w:rPr>
          <w:sz w:val="28"/>
          <w:szCs w:val="28"/>
        </w:rPr>
        <w:t xml:space="preserve"> </w:t>
      </w:r>
    </w:p>
    <w:p w14:paraId="2F899537" w14:textId="77777777" w:rsidR="001D6B82" w:rsidRDefault="001D6B82">
      <w:pPr>
        <w:rPr>
          <w:rFonts w:ascii="Arial" w:hAnsi="Arial" w:cs="Arial"/>
          <w:b/>
          <w:color w:val="007FA9" w:themeColor="accent2"/>
          <w:sz w:val="32"/>
          <w:szCs w:val="28"/>
        </w:rPr>
      </w:pPr>
      <w:r>
        <w:rPr>
          <w:rFonts w:ascii="Arial" w:hAnsi="Arial" w:cs="Arial"/>
          <w:b/>
          <w:color w:val="007FA9" w:themeColor="accent2"/>
          <w:sz w:val="32"/>
          <w:szCs w:val="28"/>
        </w:rPr>
        <w:br w:type="page"/>
      </w:r>
    </w:p>
    <w:p w14:paraId="02C28A68" w14:textId="1A207AF3" w:rsidR="00411E0D" w:rsidRDefault="001D6B82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1D6B82">
        <w:rPr>
          <w:rFonts w:ascii="Arial" w:hAnsi="Arial" w:cs="Arial"/>
          <w:sz w:val="28"/>
          <w:szCs w:val="28"/>
        </w:rPr>
        <w:lastRenderedPageBreak/>
        <w:t>Our largest market of</w:t>
      </w:r>
      <w:r>
        <w:rPr>
          <w:rFonts w:ascii="Arial" w:hAnsi="Arial" w:cs="Arial"/>
          <w:b/>
          <w:color w:val="007FA9" w:themeColor="accent2"/>
          <w:sz w:val="32"/>
          <w:szCs w:val="28"/>
        </w:rPr>
        <w:t xml:space="preserve"> </w:t>
      </w:r>
      <w:r w:rsidR="00411E0D" w:rsidRPr="00D34167">
        <w:rPr>
          <w:rFonts w:ascii="Arial" w:hAnsi="Arial" w:cs="Arial"/>
          <w:b/>
          <w:color w:val="007FA9" w:themeColor="accent2"/>
          <w:sz w:val="32"/>
          <w:szCs w:val="28"/>
        </w:rPr>
        <w:t>GERMANY</w:t>
      </w:r>
      <w:r w:rsidR="00411E0D" w:rsidRPr="0068402A">
        <w:rPr>
          <w:rFonts w:ascii="Arial" w:hAnsi="Arial" w:cs="Arial"/>
          <w:sz w:val="28"/>
          <w:szCs w:val="28"/>
        </w:rPr>
        <w:t xml:space="preserve">, </w:t>
      </w:r>
      <w:r w:rsidR="00411E0D">
        <w:rPr>
          <w:rFonts w:ascii="Arial" w:hAnsi="Arial" w:cs="Arial"/>
          <w:sz w:val="28"/>
          <w:szCs w:val="28"/>
        </w:rPr>
        <w:t xml:space="preserve">which represented </w:t>
      </w:r>
      <w:r w:rsidR="00CD7164">
        <w:rPr>
          <w:rFonts w:ascii="Arial" w:hAnsi="Arial" w:cs="Arial"/>
          <w:sz w:val="28"/>
          <w:szCs w:val="28"/>
        </w:rPr>
        <w:t>32</w:t>
      </w:r>
      <w:r w:rsidR="00411E0D" w:rsidRPr="00165B7D">
        <w:rPr>
          <w:rFonts w:ascii="Arial" w:hAnsi="Arial" w:cs="Arial"/>
          <w:sz w:val="28"/>
          <w:szCs w:val="28"/>
        </w:rPr>
        <w:t xml:space="preserve">% of group fees, </w:t>
      </w:r>
      <w:r w:rsidR="00411E0D">
        <w:rPr>
          <w:rFonts w:ascii="Arial" w:hAnsi="Arial" w:cs="Arial"/>
          <w:sz w:val="28"/>
          <w:szCs w:val="28"/>
        </w:rPr>
        <w:t>delivered another record fee performance, up 2</w:t>
      </w:r>
      <w:r w:rsidR="00CD7164">
        <w:rPr>
          <w:rFonts w:ascii="Arial" w:hAnsi="Arial" w:cs="Arial"/>
          <w:sz w:val="28"/>
          <w:szCs w:val="28"/>
        </w:rPr>
        <w:t xml:space="preserve">3%. </w:t>
      </w:r>
      <w:r w:rsidR="00643B17">
        <w:rPr>
          <w:rFonts w:ascii="Arial" w:hAnsi="Arial" w:cs="Arial"/>
          <w:sz w:val="28"/>
          <w:szCs w:val="28"/>
        </w:rPr>
        <w:t xml:space="preserve">Fees increased sequentially through the quarter driven by </w:t>
      </w:r>
      <w:r w:rsidR="00DB0497">
        <w:rPr>
          <w:rFonts w:ascii="Arial" w:hAnsi="Arial" w:cs="Arial"/>
          <w:sz w:val="28"/>
          <w:szCs w:val="28"/>
        </w:rPr>
        <w:t xml:space="preserve">ongoing skill shortages in our high salary markets, higher than normal levels of contract extensions and solid </w:t>
      </w:r>
      <w:r w:rsidR="00643B17">
        <w:rPr>
          <w:rFonts w:ascii="Arial" w:hAnsi="Arial" w:cs="Arial"/>
          <w:sz w:val="28"/>
          <w:szCs w:val="28"/>
        </w:rPr>
        <w:t xml:space="preserve">client demand </w:t>
      </w:r>
      <w:r w:rsidR="00DB0497">
        <w:rPr>
          <w:rFonts w:ascii="Arial" w:hAnsi="Arial" w:cs="Arial"/>
          <w:sz w:val="28"/>
          <w:szCs w:val="28"/>
        </w:rPr>
        <w:t>for new projects. We ended the quarter with</w:t>
      </w:r>
      <w:r w:rsidR="00CD7164">
        <w:rPr>
          <w:rFonts w:ascii="Arial" w:hAnsi="Arial" w:cs="Arial"/>
          <w:sz w:val="28"/>
          <w:szCs w:val="28"/>
        </w:rPr>
        <w:t xml:space="preserve"> near-record </w:t>
      </w:r>
      <w:r w:rsidR="00FA599D">
        <w:rPr>
          <w:rFonts w:ascii="Arial" w:hAnsi="Arial" w:cs="Arial"/>
          <w:sz w:val="28"/>
          <w:szCs w:val="28"/>
        </w:rPr>
        <w:t>Contractor &amp; T</w:t>
      </w:r>
      <w:r w:rsidR="00CD7164">
        <w:rPr>
          <w:rFonts w:ascii="Arial" w:hAnsi="Arial" w:cs="Arial"/>
          <w:sz w:val="28"/>
          <w:szCs w:val="28"/>
        </w:rPr>
        <w:t>emp volumes</w:t>
      </w:r>
      <w:r w:rsidR="00034043">
        <w:rPr>
          <w:rFonts w:ascii="Arial" w:hAnsi="Arial" w:cs="Arial"/>
          <w:sz w:val="28"/>
          <w:szCs w:val="28"/>
        </w:rPr>
        <w:t>.</w:t>
      </w:r>
      <w:r w:rsidR="00411E0D">
        <w:rPr>
          <w:rFonts w:ascii="Arial" w:hAnsi="Arial" w:cs="Arial"/>
          <w:sz w:val="28"/>
          <w:szCs w:val="28"/>
        </w:rPr>
        <w:t xml:space="preserve"> </w:t>
      </w:r>
    </w:p>
    <w:p w14:paraId="7C445706" w14:textId="7281BF77" w:rsidR="00411E0D" w:rsidRPr="003D0CC7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3D0CC7">
        <w:rPr>
          <w:rFonts w:ascii="Arial" w:hAnsi="Arial" w:cs="Arial"/>
          <w:sz w:val="28"/>
          <w:szCs w:val="28"/>
        </w:rPr>
        <w:t xml:space="preserve">Contracting, </w:t>
      </w:r>
      <w:r w:rsidR="003D0CC7" w:rsidRPr="003D0CC7">
        <w:rPr>
          <w:rFonts w:ascii="Arial" w:hAnsi="Arial" w:cs="Arial"/>
          <w:sz w:val="28"/>
          <w:szCs w:val="28"/>
        </w:rPr>
        <w:t>60</w:t>
      </w:r>
      <w:r w:rsidRPr="003D0CC7">
        <w:rPr>
          <w:rFonts w:ascii="Arial" w:hAnsi="Arial" w:cs="Arial"/>
          <w:sz w:val="28"/>
          <w:szCs w:val="28"/>
        </w:rPr>
        <w:t>% of German</w:t>
      </w:r>
      <w:r w:rsidR="00DD0467" w:rsidRPr="003D0CC7">
        <w:rPr>
          <w:rFonts w:ascii="Arial" w:hAnsi="Arial" w:cs="Arial"/>
          <w:sz w:val="28"/>
          <w:szCs w:val="28"/>
        </w:rPr>
        <w:t>y</w:t>
      </w:r>
      <w:r w:rsidRPr="003D0CC7">
        <w:rPr>
          <w:rFonts w:ascii="Arial" w:hAnsi="Arial" w:cs="Arial"/>
          <w:sz w:val="28"/>
          <w:szCs w:val="28"/>
        </w:rPr>
        <w:t xml:space="preserve"> fees, delivered a</w:t>
      </w:r>
      <w:r w:rsidR="00CF7DBE" w:rsidRPr="003D0CC7">
        <w:rPr>
          <w:rFonts w:ascii="Arial" w:hAnsi="Arial" w:cs="Arial"/>
          <w:sz w:val="28"/>
          <w:szCs w:val="28"/>
        </w:rPr>
        <w:t>nother</w:t>
      </w:r>
      <w:r w:rsidRPr="003D0CC7">
        <w:rPr>
          <w:rFonts w:ascii="Arial" w:hAnsi="Arial" w:cs="Arial"/>
          <w:sz w:val="28"/>
          <w:szCs w:val="28"/>
        </w:rPr>
        <w:t xml:space="preserve"> record quarter, up an excellent </w:t>
      </w:r>
      <w:r w:rsidR="0081160B">
        <w:rPr>
          <w:rFonts w:ascii="Arial" w:hAnsi="Arial" w:cs="Arial"/>
          <w:sz w:val="28"/>
          <w:szCs w:val="28"/>
        </w:rPr>
        <w:t>27</w:t>
      </w:r>
      <w:r w:rsidRPr="003D0CC7">
        <w:rPr>
          <w:rFonts w:ascii="Arial" w:hAnsi="Arial" w:cs="Arial"/>
          <w:sz w:val="28"/>
          <w:szCs w:val="28"/>
        </w:rPr>
        <w:t>%</w:t>
      </w:r>
      <w:r w:rsidR="00150C73" w:rsidRPr="003D0CC7">
        <w:rPr>
          <w:rFonts w:ascii="Arial" w:hAnsi="Arial" w:cs="Arial"/>
          <w:sz w:val="28"/>
          <w:szCs w:val="28"/>
        </w:rPr>
        <w:t xml:space="preserve">. </w:t>
      </w:r>
      <w:r w:rsidRPr="003D0CC7">
        <w:rPr>
          <w:rFonts w:ascii="Arial" w:hAnsi="Arial" w:cs="Arial"/>
          <w:sz w:val="28"/>
          <w:szCs w:val="28"/>
        </w:rPr>
        <w:t xml:space="preserve">This was driven by </w:t>
      </w:r>
      <w:r w:rsidR="00031346">
        <w:rPr>
          <w:rFonts w:ascii="Arial" w:hAnsi="Arial" w:cs="Arial"/>
          <w:sz w:val="28"/>
          <w:szCs w:val="28"/>
        </w:rPr>
        <w:t>10</w:t>
      </w:r>
      <w:r w:rsidR="00034043" w:rsidRPr="003D0CC7">
        <w:rPr>
          <w:rFonts w:ascii="Arial" w:hAnsi="Arial" w:cs="Arial"/>
          <w:sz w:val="28"/>
          <w:szCs w:val="28"/>
        </w:rPr>
        <w:t>%</w:t>
      </w:r>
      <w:r w:rsidRPr="003D0CC7">
        <w:rPr>
          <w:rFonts w:ascii="Arial" w:hAnsi="Arial" w:cs="Arial"/>
          <w:sz w:val="28"/>
          <w:szCs w:val="28"/>
        </w:rPr>
        <w:t xml:space="preserve"> growth in contractor volumes</w:t>
      </w:r>
      <w:r w:rsidR="00031346">
        <w:rPr>
          <w:rFonts w:ascii="Arial" w:hAnsi="Arial" w:cs="Arial"/>
          <w:sz w:val="28"/>
          <w:szCs w:val="28"/>
        </w:rPr>
        <w:t>, together with 1</w:t>
      </w:r>
      <w:r w:rsidR="0081160B">
        <w:rPr>
          <w:rFonts w:ascii="Arial" w:hAnsi="Arial" w:cs="Arial"/>
          <w:sz w:val="28"/>
          <w:szCs w:val="28"/>
        </w:rPr>
        <w:t>6</w:t>
      </w:r>
      <w:r w:rsidR="00031346">
        <w:rPr>
          <w:rFonts w:ascii="Arial" w:hAnsi="Arial" w:cs="Arial"/>
          <w:sz w:val="28"/>
          <w:szCs w:val="28"/>
        </w:rPr>
        <w:t>% via the mix of i</w:t>
      </w:r>
      <w:r w:rsidRPr="003D0CC7">
        <w:rPr>
          <w:rFonts w:ascii="Arial" w:hAnsi="Arial" w:cs="Arial"/>
          <w:sz w:val="28"/>
          <w:szCs w:val="28"/>
        </w:rPr>
        <w:t xml:space="preserve">mproved </w:t>
      </w:r>
      <w:r w:rsidR="00031346">
        <w:rPr>
          <w:rFonts w:ascii="Arial" w:hAnsi="Arial" w:cs="Arial"/>
          <w:sz w:val="28"/>
          <w:szCs w:val="28"/>
        </w:rPr>
        <w:t xml:space="preserve">fee </w:t>
      </w:r>
      <w:r w:rsidRPr="003D0CC7">
        <w:rPr>
          <w:rFonts w:ascii="Arial" w:hAnsi="Arial" w:cs="Arial"/>
          <w:sz w:val="28"/>
          <w:szCs w:val="28"/>
        </w:rPr>
        <w:t>margin</w:t>
      </w:r>
      <w:r w:rsidR="00031346">
        <w:rPr>
          <w:rFonts w:ascii="Arial" w:hAnsi="Arial" w:cs="Arial"/>
          <w:sz w:val="28"/>
          <w:szCs w:val="28"/>
        </w:rPr>
        <w:t>s</w:t>
      </w:r>
      <w:r w:rsidRPr="003D0CC7">
        <w:rPr>
          <w:rFonts w:ascii="Arial" w:hAnsi="Arial" w:cs="Arial"/>
          <w:sz w:val="28"/>
          <w:szCs w:val="28"/>
        </w:rPr>
        <w:t xml:space="preserve"> and </w:t>
      </w:r>
      <w:r w:rsidR="00031346">
        <w:rPr>
          <w:rFonts w:ascii="Arial" w:hAnsi="Arial" w:cs="Arial"/>
          <w:sz w:val="28"/>
          <w:szCs w:val="28"/>
        </w:rPr>
        <w:t>higher c</w:t>
      </w:r>
      <w:r w:rsidR="006363AD" w:rsidRPr="003D0CC7">
        <w:rPr>
          <w:rFonts w:ascii="Arial" w:hAnsi="Arial" w:cs="Arial"/>
          <w:sz w:val="28"/>
          <w:szCs w:val="28"/>
        </w:rPr>
        <w:t>ontractor rates</w:t>
      </w:r>
      <w:r w:rsidR="00031346">
        <w:rPr>
          <w:rFonts w:ascii="Arial" w:hAnsi="Arial" w:cs="Arial"/>
          <w:sz w:val="28"/>
          <w:szCs w:val="28"/>
        </w:rPr>
        <w:t>.</w:t>
      </w:r>
      <w:r w:rsidR="0081160B">
        <w:rPr>
          <w:rFonts w:ascii="Arial" w:hAnsi="Arial" w:cs="Arial"/>
          <w:sz w:val="28"/>
          <w:szCs w:val="28"/>
        </w:rPr>
        <w:t xml:space="preserve"> A</w:t>
      </w:r>
      <w:r w:rsidR="00034043" w:rsidRPr="003D0CC7">
        <w:rPr>
          <w:rFonts w:ascii="Arial" w:hAnsi="Arial" w:cs="Arial"/>
          <w:sz w:val="28"/>
          <w:szCs w:val="28"/>
        </w:rPr>
        <w:t xml:space="preserve">verage weekly hours per contractor </w:t>
      </w:r>
      <w:r w:rsidR="00031346">
        <w:rPr>
          <w:rFonts w:ascii="Arial" w:hAnsi="Arial" w:cs="Arial"/>
          <w:sz w:val="28"/>
          <w:szCs w:val="28"/>
        </w:rPr>
        <w:t>increased by 1%</w:t>
      </w:r>
      <w:r w:rsidR="00034043" w:rsidRPr="003D0CC7">
        <w:rPr>
          <w:rFonts w:ascii="Arial" w:hAnsi="Arial" w:cs="Arial"/>
          <w:sz w:val="28"/>
          <w:szCs w:val="28"/>
        </w:rPr>
        <w:t xml:space="preserve"> versus the prior year</w:t>
      </w:r>
      <w:r w:rsidR="00643B17" w:rsidRPr="003D0CC7">
        <w:rPr>
          <w:rFonts w:ascii="Arial" w:hAnsi="Arial" w:cs="Arial"/>
          <w:sz w:val="28"/>
          <w:szCs w:val="28"/>
        </w:rPr>
        <w:t>.</w:t>
      </w:r>
    </w:p>
    <w:p w14:paraId="64CB7791" w14:textId="430974A6" w:rsidR="00411E0D" w:rsidRPr="003D0CC7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3D0CC7">
        <w:rPr>
          <w:rFonts w:ascii="Arial" w:hAnsi="Arial" w:cs="Arial"/>
          <w:sz w:val="28"/>
          <w:szCs w:val="28"/>
        </w:rPr>
        <w:t>Temp, 2</w:t>
      </w:r>
      <w:r w:rsidR="003D0CC7" w:rsidRPr="003D0CC7">
        <w:rPr>
          <w:rFonts w:ascii="Arial" w:hAnsi="Arial" w:cs="Arial"/>
          <w:sz w:val="28"/>
          <w:szCs w:val="28"/>
        </w:rPr>
        <w:t>4</w:t>
      </w:r>
      <w:r w:rsidRPr="003D0CC7">
        <w:rPr>
          <w:rFonts w:ascii="Arial" w:hAnsi="Arial" w:cs="Arial"/>
          <w:sz w:val="28"/>
          <w:szCs w:val="28"/>
        </w:rPr>
        <w:t xml:space="preserve">% of Germany fees, increased by </w:t>
      </w:r>
      <w:r w:rsidR="0081160B">
        <w:rPr>
          <w:rFonts w:ascii="Arial" w:hAnsi="Arial" w:cs="Arial"/>
          <w:sz w:val="28"/>
          <w:szCs w:val="28"/>
        </w:rPr>
        <w:t>20</w:t>
      </w:r>
      <w:r w:rsidRPr="003D0CC7">
        <w:rPr>
          <w:rFonts w:ascii="Arial" w:hAnsi="Arial" w:cs="Arial"/>
          <w:sz w:val="28"/>
          <w:szCs w:val="28"/>
        </w:rPr>
        <w:t>%,</w:t>
      </w:r>
      <w:r w:rsidR="002140A4" w:rsidRPr="003D0CC7">
        <w:rPr>
          <w:rFonts w:ascii="Arial" w:hAnsi="Arial" w:cs="Arial"/>
          <w:sz w:val="28"/>
          <w:szCs w:val="28"/>
        </w:rPr>
        <w:t xml:space="preserve"> </w:t>
      </w:r>
      <w:r w:rsidR="00643B17" w:rsidRPr="003D0CC7">
        <w:rPr>
          <w:rFonts w:ascii="Arial" w:hAnsi="Arial" w:cs="Arial"/>
          <w:sz w:val="28"/>
          <w:szCs w:val="28"/>
        </w:rPr>
        <w:t xml:space="preserve">driven by </w:t>
      </w:r>
      <w:r w:rsidR="00323C36">
        <w:rPr>
          <w:rFonts w:ascii="Arial" w:hAnsi="Arial" w:cs="Arial"/>
          <w:sz w:val="28"/>
          <w:szCs w:val="28"/>
        </w:rPr>
        <w:t>13</w:t>
      </w:r>
      <w:r w:rsidR="00643B17" w:rsidRPr="003D0CC7">
        <w:rPr>
          <w:rFonts w:ascii="Arial" w:hAnsi="Arial" w:cs="Arial"/>
          <w:sz w:val="28"/>
          <w:szCs w:val="28"/>
        </w:rPr>
        <w:t xml:space="preserve">% volume growth. </w:t>
      </w:r>
      <w:r w:rsidRPr="003D0CC7">
        <w:rPr>
          <w:rFonts w:ascii="Arial" w:hAnsi="Arial" w:cs="Arial"/>
          <w:sz w:val="28"/>
          <w:szCs w:val="28"/>
        </w:rPr>
        <w:t>Perm</w:t>
      </w:r>
      <w:r w:rsidR="0073046B">
        <w:rPr>
          <w:rFonts w:ascii="Arial" w:hAnsi="Arial" w:cs="Arial"/>
          <w:sz w:val="28"/>
          <w:szCs w:val="28"/>
        </w:rPr>
        <w:t xml:space="preserve"> increased by</w:t>
      </w:r>
      <w:r w:rsidRPr="003D0CC7">
        <w:rPr>
          <w:rFonts w:ascii="Arial" w:hAnsi="Arial" w:cs="Arial"/>
          <w:sz w:val="28"/>
          <w:szCs w:val="28"/>
        </w:rPr>
        <w:t xml:space="preserve"> </w:t>
      </w:r>
      <w:r w:rsidR="00E31CE3" w:rsidRPr="003D0CC7">
        <w:rPr>
          <w:rFonts w:ascii="Arial" w:hAnsi="Arial" w:cs="Arial"/>
          <w:sz w:val="28"/>
          <w:szCs w:val="28"/>
        </w:rPr>
        <w:t>1</w:t>
      </w:r>
      <w:r w:rsidR="003D0CC7" w:rsidRPr="003D0CC7">
        <w:rPr>
          <w:rFonts w:ascii="Arial" w:hAnsi="Arial" w:cs="Arial"/>
          <w:sz w:val="28"/>
          <w:szCs w:val="28"/>
        </w:rPr>
        <w:t>3</w:t>
      </w:r>
      <w:r w:rsidRPr="003D0CC7">
        <w:rPr>
          <w:rFonts w:ascii="Arial" w:hAnsi="Arial" w:cs="Arial"/>
          <w:sz w:val="28"/>
          <w:szCs w:val="28"/>
        </w:rPr>
        <w:t>%.</w:t>
      </w:r>
    </w:p>
    <w:p w14:paraId="6CB6E64A" w14:textId="46F25C81" w:rsidR="00411E0D" w:rsidRPr="00165B7D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3D0CC7">
        <w:rPr>
          <w:rFonts w:ascii="Arial" w:hAnsi="Arial" w:cs="Arial"/>
          <w:sz w:val="28"/>
          <w:szCs w:val="28"/>
        </w:rPr>
        <w:t xml:space="preserve">At </w:t>
      </w:r>
      <w:r w:rsidR="00DD0467" w:rsidRPr="003D0CC7">
        <w:rPr>
          <w:rFonts w:ascii="Arial" w:hAnsi="Arial" w:cs="Arial"/>
          <w:sz w:val="28"/>
          <w:szCs w:val="28"/>
        </w:rPr>
        <w:t>the</w:t>
      </w:r>
      <w:r w:rsidRPr="003D0CC7">
        <w:rPr>
          <w:rFonts w:ascii="Arial" w:hAnsi="Arial" w:cs="Arial"/>
          <w:sz w:val="28"/>
          <w:szCs w:val="28"/>
        </w:rPr>
        <w:t xml:space="preserve"> specialism level, Technology</w:t>
      </w:r>
      <w:r w:rsidR="002140A4" w:rsidRPr="003D0CC7">
        <w:rPr>
          <w:rFonts w:ascii="Arial" w:hAnsi="Arial" w:cs="Arial"/>
          <w:sz w:val="28"/>
          <w:szCs w:val="28"/>
        </w:rPr>
        <w:t>,</w:t>
      </w:r>
      <w:r w:rsidRPr="003D0CC7">
        <w:rPr>
          <w:rFonts w:ascii="Arial" w:hAnsi="Arial" w:cs="Arial"/>
          <w:sz w:val="28"/>
          <w:szCs w:val="28"/>
        </w:rPr>
        <w:t xml:space="preserve"> our largest specialism was up </w:t>
      </w:r>
      <w:r w:rsidR="00323C36">
        <w:rPr>
          <w:rFonts w:ascii="Arial" w:hAnsi="Arial" w:cs="Arial"/>
          <w:sz w:val="28"/>
          <w:szCs w:val="28"/>
        </w:rPr>
        <w:t>17</w:t>
      </w:r>
      <w:r w:rsidRPr="003D0CC7">
        <w:rPr>
          <w:rFonts w:ascii="Arial" w:hAnsi="Arial" w:cs="Arial"/>
          <w:sz w:val="28"/>
          <w:szCs w:val="28"/>
        </w:rPr>
        <w:t xml:space="preserve">%, Engineering </w:t>
      </w:r>
      <w:r w:rsidR="006363AD" w:rsidRPr="003D0CC7">
        <w:rPr>
          <w:rFonts w:ascii="Arial" w:hAnsi="Arial" w:cs="Arial"/>
          <w:sz w:val="28"/>
          <w:szCs w:val="28"/>
        </w:rPr>
        <w:t xml:space="preserve">up </w:t>
      </w:r>
      <w:r w:rsidR="00323C36">
        <w:rPr>
          <w:rFonts w:ascii="Arial" w:hAnsi="Arial" w:cs="Arial"/>
          <w:sz w:val="28"/>
          <w:szCs w:val="28"/>
        </w:rPr>
        <w:t>27</w:t>
      </w:r>
      <w:r w:rsidRPr="003D0CC7">
        <w:rPr>
          <w:rFonts w:ascii="Arial" w:hAnsi="Arial" w:cs="Arial"/>
          <w:sz w:val="28"/>
          <w:szCs w:val="28"/>
        </w:rPr>
        <w:t xml:space="preserve">%, Accountancy &amp; Finance up </w:t>
      </w:r>
      <w:r w:rsidR="003D0CC7" w:rsidRPr="003D0CC7">
        <w:rPr>
          <w:rFonts w:ascii="Arial" w:hAnsi="Arial" w:cs="Arial"/>
          <w:sz w:val="28"/>
          <w:szCs w:val="28"/>
        </w:rPr>
        <w:t>30</w:t>
      </w:r>
      <w:r w:rsidRPr="003D0CC7">
        <w:rPr>
          <w:rFonts w:ascii="Arial" w:hAnsi="Arial" w:cs="Arial"/>
          <w:sz w:val="28"/>
          <w:szCs w:val="28"/>
        </w:rPr>
        <w:t xml:space="preserve">% and HR up an outstanding </w:t>
      </w:r>
      <w:r w:rsidR="003D0CC7" w:rsidRPr="003D0CC7">
        <w:rPr>
          <w:rFonts w:ascii="Arial" w:hAnsi="Arial" w:cs="Arial"/>
          <w:sz w:val="28"/>
          <w:szCs w:val="28"/>
        </w:rPr>
        <w:t>6</w:t>
      </w:r>
      <w:r w:rsidR="00323C36">
        <w:rPr>
          <w:rFonts w:ascii="Arial" w:hAnsi="Arial" w:cs="Arial"/>
          <w:sz w:val="28"/>
          <w:szCs w:val="28"/>
        </w:rPr>
        <w:t>4</w:t>
      </w:r>
      <w:r w:rsidRPr="003D0CC7">
        <w:rPr>
          <w:rFonts w:ascii="Arial" w:hAnsi="Arial" w:cs="Arial"/>
          <w:sz w:val="28"/>
          <w:szCs w:val="28"/>
        </w:rPr>
        <w:t>%.</w:t>
      </w:r>
    </w:p>
    <w:p w14:paraId="3FADA54F" w14:textId="5B9FEF3A" w:rsidR="00411E0D" w:rsidRPr="0068402A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165B7D">
        <w:rPr>
          <w:rFonts w:ascii="Arial" w:hAnsi="Arial" w:cs="Arial"/>
          <w:sz w:val="28"/>
          <w:szCs w:val="28"/>
        </w:rPr>
        <w:t xml:space="preserve">Consultant headcount </w:t>
      </w:r>
      <w:r>
        <w:rPr>
          <w:rFonts w:ascii="Arial" w:hAnsi="Arial" w:cs="Arial"/>
          <w:sz w:val="28"/>
          <w:szCs w:val="28"/>
        </w:rPr>
        <w:t>was</w:t>
      </w:r>
      <w:r w:rsidR="005B3FED">
        <w:rPr>
          <w:rFonts w:ascii="Arial" w:hAnsi="Arial" w:cs="Arial"/>
          <w:sz w:val="28"/>
          <w:szCs w:val="28"/>
        </w:rPr>
        <w:t xml:space="preserve"> up </w:t>
      </w:r>
      <w:r w:rsidR="00E31CE3">
        <w:rPr>
          <w:rFonts w:ascii="Arial" w:hAnsi="Arial" w:cs="Arial"/>
          <w:sz w:val="28"/>
          <w:szCs w:val="28"/>
        </w:rPr>
        <w:t>1</w:t>
      </w:r>
      <w:r w:rsidR="005B3FED">
        <w:rPr>
          <w:rFonts w:ascii="Arial" w:hAnsi="Arial" w:cs="Arial"/>
          <w:sz w:val="28"/>
          <w:szCs w:val="28"/>
        </w:rPr>
        <w:t xml:space="preserve">% in the quarter </w:t>
      </w:r>
      <w:r w:rsidRPr="00165B7D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up </w:t>
      </w:r>
      <w:r w:rsidR="00323C36">
        <w:rPr>
          <w:rFonts w:ascii="Arial" w:hAnsi="Arial" w:cs="Arial"/>
          <w:sz w:val="28"/>
          <w:szCs w:val="28"/>
        </w:rPr>
        <w:t>10</w:t>
      </w:r>
      <w:r w:rsidR="005B3FED">
        <w:rPr>
          <w:rFonts w:ascii="Arial" w:hAnsi="Arial" w:cs="Arial"/>
          <w:sz w:val="28"/>
          <w:szCs w:val="28"/>
        </w:rPr>
        <w:t xml:space="preserve">% </w:t>
      </w:r>
      <w:r w:rsidRPr="00165B7D">
        <w:rPr>
          <w:rFonts w:ascii="Arial" w:hAnsi="Arial" w:cs="Arial"/>
          <w:sz w:val="28"/>
          <w:szCs w:val="28"/>
        </w:rPr>
        <w:t>year-on</w:t>
      </w:r>
      <w:r w:rsidRPr="0068402A">
        <w:rPr>
          <w:rFonts w:ascii="Arial" w:hAnsi="Arial" w:cs="Arial"/>
          <w:sz w:val="28"/>
          <w:szCs w:val="28"/>
        </w:rPr>
        <w:t xml:space="preserve">-year. </w:t>
      </w:r>
    </w:p>
    <w:p w14:paraId="6C4F668F" w14:textId="77777777" w:rsidR="00411E0D" w:rsidRDefault="00411E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55C52AA" w14:textId="4B4580C0" w:rsidR="00411E0D" w:rsidRPr="00DB0497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68402A">
        <w:rPr>
          <w:rFonts w:ascii="Arial" w:hAnsi="Arial" w:cs="Arial"/>
          <w:sz w:val="28"/>
          <w:szCs w:val="28"/>
        </w:rPr>
        <w:lastRenderedPageBreak/>
        <w:t xml:space="preserve">The </w:t>
      </w:r>
      <w:r w:rsidRPr="00D34167">
        <w:rPr>
          <w:rFonts w:ascii="Arial" w:hAnsi="Arial" w:cs="Arial"/>
          <w:b/>
          <w:color w:val="00BFB3" w:themeColor="accent4"/>
          <w:sz w:val="32"/>
          <w:szCs w:val="28"/>
        </w:rPr>
        <w:t>UK &amp; IRELAND</w:t>
      </w:r>
      <w:r w:rsidRPr="00165B7D">
        <w:rPr>
          <w:rFonts w:ascii="Arial" w:hAnsi="Arial" w:cs="Arial"/>
          <w:sz w:val="28"/>
          <w:szCs w:val="28"/>
        </w:rPr>
        <w:t>, 2</w:t>
      </w:r>
      <w:r w:rsidR="00E31CE3">
        <w:rPr>
          <w:rFonts w:ascii="Arial" w:hAnsi="Arial" w:cs="Arial"/>
          <w:sz w:val="28"/>
          <w:szCs w:val="28"/>
        </w:rPr>
        <w:t>0</w:t>
      </w:r>
      <w:r w:rsidRPr="00165B7D">
        <w:rPr>
          <w:rFonts w:ascii="Arial" w:hAnsi="Arial" w:cs="Arial"/>
          <w:sz w:val="28"/>
          <w:szCs w:val="28"/>
        </w:rPr>
        <w:t xml:space="preserve">% of </w:t>
      </w:r>
      <w:r>
        <w:rPr>
          <w:rFonts w:ascii="Arial" w:hAnsi="Arial" w:cs="Arial"/>
          <w:sz w:val="28"/>
          <w:szCs w:val="28"/>
        </w:rPr>
        <w:t>G</w:t>
      </w:r>
      <w:r w:rsidRPr="00165B7D">
        <w:rPr>
          <w:rFonts w:ascii="Arial" w:hAnsi="Arial" w:cs="Arial"/>
          <w:sz w:val="28"/>
          <w:szCs w:val="28"/>
        </w:rPr>
        <w:t xml:space="preserve">roup fees, </w:t>
      </w:r>
      <w:r w:rsidR="00E31CE3">
        <w:rPr>
          <w:rFonts w:ascii="Arial" w:hAnsi="Arial" w:cs="Arial"/>
          <w:sz w:val="28"/>
          <w:szCs w:val="28"/>
        </w:rPr>
        <w:t xml:space="preserve">decreased </w:t>
      </w:r>
      <w:r w:rsidRPr="00165B7D">
        <w:rPr>
          <w:rFonts w:ascii="Arial" w:hAnsi="Arial" w:cs="Arial"/>
          <w:sz w:val="28"/>
          <w:szCs w:val="28"/>
        </w:rPr>
        <w:t xml:space="preserve">by </w:t>
      </w:r>
      <w:r w:rsidR="00E31CE3">
        <w:rPr>
          <w:rFonts w:ascii="Arial" w:hAnsi="Arial" w:cs="Arial"/>
          <w:sz w:val="28"/>
          <w:szCs w:val="28"/>
        </w:rPr>
        <w:t>2</w:t>
      </w:r>
      <w:r w:rsidRPr="00165B7D">
        <w:rPr>
          <w:rFonts w:ascii="Arial" w:hAnsi="Arial" w:cs="Arial"/>
          <w:sz w:val="28"/>
          <w:szCs w:val="28"/>
        </w:rPr>
        <w:t>%</w:t>
      </w:r>
      <w:r w:rsidRPr="00DB0497">
        <w:rPr>
          <w:rFonts w:ascii="Arial" w:hAnsi="Arial" w:cs="Arial"/>
          <w:sz w:val="28"/>
          <w:szCs w:val="28"/>
        </w:rPr>
        <w:t xml:space="preserve">. </w:t>
      </w:r>
    </w:p>
    <w:p w14:paraId="5B9B5CDF" w14:textId="436843AA" w:rsidR="00584ECB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DB0497">
        <w:rPr>
          <w:rFonts w:ascii="Arial" w:hAnsi="Arial" w:cs="Arial"/>
          <w:sz w:val="28"/>
          <w:szCs w:val="28"/>
        </w:rPr>
        <w:t xml:space="preserve">Performance was led by </w:t>
      </w:r>
      <w:r w:rsidR="00584ECB" w:rsidRPr="00DB0497">
        <w:rPr>
          <w:rFonts w:ascii="Arial" w:hAnsi="Arial" w:cs="Arial"/>
          <w:sz w:val="28"/>
          <w:szCs w:val="28"/>
        </w:rPr>
        <w:t>Temp, 5</w:t>
      </w:r>
      <w:r w:rsidR="00DB0497" w:rsidRPr="00DB0497">
        <w:rPr>
          <w:rFonts w:ascii="Arial" w:hAnsi="Arial" w:cs="Arial"/>
          <w:sz w:val="28"/>
          <w:szCs w:val="28"/>
        </w:rPr>
        <w:t>8</w:t>
      </w:r>
      <w:r w:rsidR="00584ECB" w:rsidRPr="00DB0497">
        <w:rPr>
          <w:rFonts w:ascii="Arial" w:hAnsi="Arial" w:cs="Arial"/>
          <w:sz w:val="28"/>
          <w:szCs w:val="28"/>
        </w:rPr>
        <w:t xml:space="preserve">% of UK&amp;I fees, up </w:t>
      </w:r>
      <w:r w:rsidR="00DB0497" w:rsidRPr="00DB0497">
        <w:rPr>
          <w:rFonts w:ascii="Arial" w:hAnsi="Arial" w:cs="Arial"/>
          <w:sz w:val="28"/>
          <w:szCs w:val="28"/>
        </w:rPr>
        <w:t>3</w:t>
      </w:r>
      <w:r w:rsidR="00584ECB" w:rsidRPr="00DB0497">
        <w:rPr>
          <w:rFonts w:ascii="Arial" w:hAnsi="Arial" w:cs="Arial"/>
          <w:sz w:val="28"/>
          <w:szCs w:val="28"/>
        </w:rPr>
        <w:t xml:space="preserve">%, </w:t>
      </w:r>
      <w:r w:rsidR="00DD0467" w:rsidRPr="00DB0497">
        <w:rPr>
          <w:rFonts w:ascii="Arial" w:hAnsi="Arial" w:cs="Arial"/>
          <w:sz w:val="28"/>
          <w:szCs w:val="28"/>
        </w:rPr>
        <w:t>entirely</w:t>
      </w:r>
      <w:r w:rsidR="00584ECB" w:rsidRPr="00DB0497">
        <w:rPr>
          <w:rFonts w:ascii="Arial" w:hAnsi="Arial" w:cs="Arial"/>
          <w:sz w:val="28"/>
          <w:szCs w:val="28"/>
        </w:rPr>
        <w:t xml:space="preserve"> driven by increased margin and mix</w:t>
      </w:r>
      <w:r w:rsidR="00323C36">
        <w:rPr>
          <w:rFonts w:ascii="Arial" w:hAnsi="Arial" w:cs="Arial"/>
          <w:sz w:val="28"/>
          <w:szCs w:val="28"/>
        </w:rPr>
        <w:t>, with Temp volumes down 5%</w:t>
      </w:r>
      <w:r w:rsidR="00584ECB" w:rsidRPr="00DB0497">
        <w:rPr>
          <w:rFonts w:ascii="Arial" w:hAnsi="Arial" w:cs="Arial"/>
          <w:sz w:val="28"/>
          <w:szCs w:val="28"/>
        </w:rPr>
        <w:t xml:space="preserve">. </w:t>
      </w:r>
      <w:r w:rsidR="00FA599D" w:rsidRPr="00FA599D">
        <w:rPr>
          <w:rFonts w:ascii="Arial" w:hAnsi="Arial" w:cs="Arial"/>
          <w:sz w:val="28"/>
          <w:szCs w:val="28"/>
        </w:rPr>
        <w:t xml:space="preserve">Perm fees decreased by 8% </w:t>
      </w:r>
      <w:r w:rsidR="00B72357">
        <w:rPr>
          <w:rFonts w:ascii="Arial" w:hAnsi="Arial" w:cs="Arial"/>
          <w:sz w:val="28"/>
          <w:szCs w:val="28"/>
        </w:rPr>
        <w:t xml:space="preserve">driven by </w:t>
      </w:r>
      <w:r w:rsidR="00FA599D" w:rsidRPr="00FA599D">
        <w:rPr>
          <w:rFonts w:ascii="Arial" w:hAnsi="Arial" w:cs="Arial"/>
          <w:sz w:val="28"/>
          <w:szCs w:val="28"/>
        </w:rPr>
        <w:t xml:space="preserve">volumes </w:t>
      </w:r>
      <w:r w:rsidR="00B72357">
        <w:rPr>
          <w:rFonts w:ascii="Arial" w:hAnsi="Arial" w:cs="Arial"/>
          <w:sz w:val="28"/>
          <w:szCs w:val="28"/>
        </w:rPr>
        <w:t>down</w:t>
      </w:r>
      <w:r w:rsidR="00FA599D" w:rsidRPr="00FA599D">
        <w:rPr>
          <w:rFonts w:ascii="Arial" w:hAnsi="Arial" w:cs="Arial"/>
          <w:sz w:val="28"/>
          <w:szCs w:val="28"/>
        </w:rPr>
        <w:t xml:space="preserve"> </w:t>
      </w:r>
      <w:r w:rsidR="00323C36">
        <w:rPr>
          <w:rFonts w:ascii="Arial" w:hAnsi="Arial" w:cs="Arial"/>
          <w:sz w:val="28"/>
          <w:szCs w:val="28"/>
        </w:rPr>
        <w:t>20</w:t>
      </w:r>
      <w:r w:rsidR="00FA599D" w:rsidRPr="00FA599D">
        <w:rPr>
          <w:rFonts w:ascii="Arial" w:hAnsi="Arial" w:cs="Arial"/>
          <w:sz w:val="28"/>
          <w:szCs w:val="28"/>
        </w:rPr>
        <w:t xml:space="preserve">%, </w:t>
      </w:r>
      <w:r w:rsidR="0081160B">
        <w:rPr>
          <w:rFonts w:ascii="Arial" w:hAnsi="Arial" w:cs="Arial"/>
          <w:sz w:val="28"/>
          <w:szCs w:val="28"/>
        </w:rPr>
        <w:t>as Perm markets became more difficult through the quarter</w:t>
      </w:r>
      <w:r w:rsidR="00FA599D">
        <w:rPr>
          <w:rFonts w:ascii="Arial" w:hAnsi="Arial" w:cs="Arial"/>
          <w:sz w:val="28"/>
          <w:szCs w:val="28"/>
        </w:rPr>
        <w:t>.</w:t>
      </w:r>
      <w:r w:rsidR="00584ECB">
        <w:rPr>
          <w:rFonts w:ascii="Arial" w:hAnsi="Arial" w:cs="Arial"/>
          <w:sz w:val="28"/>
          <w:szCs w:val="28"/>
        </w:rPr>
        <w:t xml:space="preserve"> </w:t>
      </w:r>
    </w:p>
    <w:p w14:paraId="51DC1CD9" w14:textId="3CDFE72E" w:rsidR="00411E0D" w:rsidRPr="00165B7D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165B7D">
        <w:rPr>
          <w:rFonts w:ascii="Arial" w:hAnsi="Arial" w:cs="Arial"/>
          <w:sz w:val="28"/>
          <w:szCs w:val="28"/>
        </w:rPr>
        <w:t xml:space="preserve">Private sector </w:t>
      </w:r>
      <w:r>
        <w:rPr>
          <w:rFonts w:ascii="Arial" w:hAnsi="Arial" w:cs="Arial"/>
          <w:sz w:val="28"/>
          <w:szCs w:val="28"/>
        </w:rPr>
        <w:t>fees</w:t>
      </w:r>
      <w:r w:rsidR="005B3FED">
        <w:rPr>
          <w:rFonts w:ascii="Arial" w:hAnsi="Arial" w:cs="Arial"/>
          <w:sz w:val="28"/>
          <w:szCs w:val="28"/>
        </w:rPr>
        <w:t xml:space="preserve">, </w:t>
      </w:r>
      <w:r w:rsidR="00E31CE3">
        <w:rPr>
          <w:rFonts w:ascii="Arial" w:hAnsi="Arial" w:cs="Arial"/>
          <w:sz w:val="28"/>
          <w:szCs w:val="28"/>
        </w:rPr>
        <w:t>69</w:t>
      </w:r>
      <w:r w:rsidR="005B3FED">
        <w:rPr>
          <w:rFonts w:ascii="Arial" w:hAnsi="Arial" w:cs="Arial"/>
          <w:sz w:val="28"/>
          <w:szCs w:val="28"/>
        </w:rPr>
        <w:t xml:space="preserve">% of UK&amp;I fees, </w:t>
      </w:r>
      <w:r w:rsidR="00E31CE3">
        <w:rPr>
          <w:rFonts w:ascii="Arial" w:hAnsi="Arial" w:cs="Arial"/>
          <w:sz w:val="28"/>
          <w:szCs w:val="28"/>
        </w:rPr>
        <w:t>de</w:t>
      </w:r>
      <w:r w:rsidRPr="00C32AC0">
        <w:rPr>
          <w:rFonts w:ascii="Arial" w:hAnsi="Arial" w:cs="Arial"/>
          <w:sz w:val="28"/>
          <w:szCs w:val="28"/>
        </w:rPr>
        <w:t>creased by</w:t>
      </w:r>
      <w:r w:rsidRPr="00165B7D">
        <w:rPr>
          <w:rFonts w:ascii="Arial" w:hAnsi="Arial" w:cs="Arial"/>
          <w:sz w:val="28"/>
          <w:szCs w:val="28"/>
        </w:rPr>
        <w:t xml:space="preserve"> </w:t>
      </w:r>
      <w:r w:rsidR="00220B95">
        <w:rPr>
          <w:rFonts w:ascii="Arial" w:hAnsi="Arial" w:cs="Arial"/>
          <w:sz w:val="28"/>
          <w:szCs w:val="28"/>
        </w:rPr>
        <w:t>5</w:t>
      </w:r>
      <w:r w:rsidR="005B3FED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>,</w:t>
      </w:r>
      <w:r w:rsidRPr="00165B7D">
        <w:rPr>
          <w:rFonts w:ascii="Arial" w:hAnsi="Arial" w:cs="Arial"/>
          <w:sz w:val="28"/>
          <w:szCs w:val="28"/>
        </w:rPr>
        <w:t xml:space="preserve"> with the </w:t>
      </w:r>
      <w:proofErr w:type="gramStart"/>
      <w:r w:rsidRPr="00165B7D">
        <w:rPr>
          <w:rFonts w:ascii="Arial" w:hAnsi="Arial" w:cs="Arial"/>
          <w:sz w:val="28"/>
          <w:szCs w:val="28"/>
        </w:rPr>
        <w:t>Public</w:t>
      </w:r>
      <w:proofErr w:type="gramEnd"/>
      <w:r w:rsidRPr="00165B7D">
        <w:rPr>
          <w:rFonts w:ascii="Arial" w:hAnsi="Arial" w:cs="Arial"/>
          <w:sz w:val="28"/>
          <w:szCs w:val="28"/>
        </w:rPr>
        <w:t xml:space="preserve"> sector</w:t>
      </w:r>
      <w:r>
        <w:rPr>
          <w:rFonts w:ascii="Arial" w:hAnsi="Arial" w:cs="Arial"/>
          <w:sz w:val="28"/>
          <w:szCs w:val="28"/>
        </w:rPr>
        <w:t xml:space="preserve"> up</w:t>
      </w:r>
      <w:r w:rsidR="005B3FED">
        <w:rPr>
          <w:rFonts w:ascii="Arial" w:hAnsi="Arial" w:cs="Arial"/>
          <w:sz w:val="28"/>
          <w:szCs w:val="28"/>
        </w:rPr>
        <w:t xml:space="preserve"> </w:t>
      </w:r>
      <w:r w:rsidR="0073046B">
        <w:rPr>
          <w:rFonts w:ascii="Arial" w:hAnsi="Arial" w:cs="Arial"/>
          <w:sz w:val="28"/>
          <w:szCs w:val="28"/>
        </w:rPr>
        <w:t>6</w:t>
      </w:r>
      <w:r w:rsidR="005B3FED">
        <w:rPr>
          <w:rFonts w:ascii="Arial" w:hAnsi="Arial" w:cs="Arial"/>
          <w:sz w:val="28"/>
          <w:szCs w:val="28"/>
        </w:rPr>
        <w:t>%</w:t>
      </w:r>
      <w:r w:rsidRPr="00165B7D">
        <w:rPr>
          <w:rFonts w:ascii="Arial" w:hAnsi="Arial" w:cs="Arial"/>
          <w:sz w:val="28"/>
          <w:szCs w:val="28"/>
        </w:rPr>
        <w:t>.</w:t>
      </w:r>
    </w:p>
    <w:p w14:paraId="044B898D" w14:textId="4B383415" w:rsidR="00411E0D" w:rsidRPr="00220B95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20B95">
        <w:rPr>
          <w:rFonts w:ascii="Arial" w:hAnsi="Arial" w:cs="Arial"/>
          <w:sz w:val="28"/>
          <w:szCs w:val="28"/>
        </w:rPr>
        <w:t xml:space="preserve">Most regions traded broadly in line with the overall </w:t>
      </w:r>
      <w:r w:rsidR="002F7B29">
        <w:rPr>
          <w:rFonts w:ascii="Arial" w:hAnsi="Arial" w:cs="Arial"/>
          <w:sz w:val="28"/>
          <w:szCs w:val="28"/>
        </w:rPr>
        <w:t xml:space="preserve">UK&amp;I </w:t>
      </w:r>
      <w:r w:rsidRPr="00220B95">
        <w:rPr>
          <w:rFonts w:ascii="Arial" w:hAnsi="Arial" w:cs="Arial"/>
          <w:sz w:val="28"/>
          <w:szCs w:val="28"/>
        </w:rPr>
        <w:t>business</w:t>
      </w:r>
      <w:r w:rsidR="00C97A9E" w:rsidRPr="00220B95">
        <w:rPr>
          <w:rFonts w:ascii="Arial" w:hAnsi="Arial" w:cs="Arial"/>
          <w:sz w:val="28"/>
          <w:szCs w:val="28"/>
        </w:rPr>
        <w:t xml:space="preserve">, apart from Northern Ireland and </w:t>
      </w:r>
      <w:proofErr w:type="gramStart"/>
      <w:r w:rsidR="00B72357">
        <w:rPr>
          <w:rFonts w:ascii="Arial" w:hAnsi="Arial" w:cs="Arial"/>
          <w:sz w:val="28"/>
          <w:szCs w:val="28"/>
        </w:rPr>
        <w:t>North East</w:t>
      </w:r>
      <w:proofErr w:type="gramEnd"/>
      <w:r w:rsidR="00C97A9E" w:rsidRPr="00220B95">
        <w:rPr>
          <w:rFonts w:ascii="Arial" w:hAnsi="Arial" w:cs="Arial"/>
          <w:sz w:val="28"/>
          <w:szCs w:val="28"/>
        </w:rPr>
        <w:t xml:space="preserve">, which increased by </w:t>
      </w:r>
      <w:r w:rsidR="00220B95" w:rsidRPr="00220B95">
        <w:rPr>
          <w:rFonts w:ascii="Arial" w:hAnsi="Arial" w:cs="Arial"/>
          <w:sz w:val="28"/>
          <w:szCs w:val="28"/>
        </w:rPr>
        <w:t>19</w:t>
      </w:r>
      <w:r w:rsidR="00C97A9E" w:rsidRPr="00220B95">
        <w:rPr>
          <w:rFonts w:ascii="Arial" w:hAnsi="Arial" w:cs="Arial"/>
          <w:sz w:val="28"/>
          <w:szCs w:val="28"/>
        </w:rPr>
        <w:t xml:space="preserve">% and </w:t>
      </w:r>
      <w:r w:rsidR="00220B95" w:rsidRPr="00220B95">
        <w:rPr>
          <w:rFonts w:ascii="Arial" w:hAnsi="Arial" w:cs="Arial"/>
          <w:sz w:val="28"/>
          <w:szCs w:val="28"/>
        </w:rPr>
        <w:t>4</w:t>
      </w:r>
      <w:r w:rsidR="00C97A9E" w:rsidRPr="00220B95">
        <w:rPr>
          <w:rFonts w:ascii="Arial" w:hAnsi="Arial" w:cs="Arial"/>
          <w:sz w:val="28"/>
          <w:szCs w:val="28"/>
        </w:rPr>
        <w:t xml:space="preserve">% respectively, and the North West, which was down </w:t>
      </w:r>
      <w:r w:rsidR="00220B95" w:rsidRPr="00220B95">
        <w:rPr>
          <w:rFonts w:ascii="Arial" w:hAnsi="Arial" w:cs="Arial"/>
          <w:sz w:val="28"/>
          <w:szCs w:val="28"/>
        </w:rPr>
        <w:t>12</w:t>
      </w:r>
      <w:r w:rsidR="00C97A9E" w:rsidRPr="00220B95">
        <w:rPr>
          <w:rFonts w:ascii="Arial" w:hAnsi="Arial" w:cs="Arial"/>
          <w:sz w:val="28"/>
          <w:szCs w:val="28"/>
        </w:rPr>
        <w:t xml:space="preserve">%. </w:t>
      </w:r>
      <w:r w:rsidRPr="00220B95">
        <w:rPr>
          <w:rFonts w:ascii="Arial" w:hAnsi="Arial" w:cs="Arial"/>
          <w:sz w:val="28"/>
          <w:szCs w:val="28"/>
        </w:rPr>
        <w:t>Our largest region of London</w:t>
      </w:r>
      <w:r w:rsidR="00C97A9E" w:rsidRPr="00220B95">
        <w:rPr>
          <w:rFonts w:ascii="Arial" w:hAnsi="Arial" w:cs="Arial"/>
          <w:sz w:val="28"/>
          <w:szCs w:val="28"/>
        </w:rPr>
        <w:t xml:space="preserve"> </w:t>
      </w:r>
      <w:r w:rsidR="00220B95" w:rsidRPr="00220B95">
        <w:rPr>
          <w:rFonts w:ascii="Arial" w:hAnsi="Arial" w:cs="Arial"/>
          <w:sz w:val="28"/>
          <w:szCs w:val="28"/>
        </w:rPr>
        <w:t>decreased by 6%</w:t>
      </w:r>
      <w:r w:rsidR="00C97A9E" w:rsidRPr="00220B95">
        <w:rPr>
          <w:rFonts w:ascii="Arial" w:hAnsi="Arial" w:cs="Arial"/>
          <w:sz w:val="28"/>
          <w:szCs w:val="28"/>
        </w:rPr>
        <w:t xml:space="preserve">, </w:t>
      </w:r>
      <w:r w:rsidRPr="00220B95">
        <w:rPr>
          <w:rFonts w:ascii="Arial" w:hAnsi="Arial" w:cs="Arial"/>
          <w:sz w:val="28"/>
          <w:szCs w:val="28"/>
        </w:rPr>
        <w:t xml:space="preserve">including London City </w:t>
      </w:r>
      <w:r w:rsidR="00220B95" w:rsidRPr="00220B95">
        <w:rPr>
          <w:rFonts w:ascii="Arial" w:hAnsi="Arial" w:cs="Arial"/>
          <w:sz w:val="28"/>
          <w:szCs w:val="28"/>
        </w:rPr>
        <w:t>down 7</w:t>
      </w:r>
      <w:r w:rsidRPr="00220B95">
        <w:rPr>
          <w:rFonts w:ascii="Arial" w:hAnsi="Arial" w:cs="Arial"/>
          <w:sz w:val="28"/>
          <w:szCs w:val="28"/>
        </w:rPr>
        <w:t>%.</w:t>
      </w:r>
    </w:p>
    <w:p w14:paraId="60E89C18" w14:textId="11F8B085" w:rsidR="00411E0D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20B95">
        <w:rPr>
          <w:rFonts w:ascii="Arial" w:hAnsi="Arial" w:cs="Arial"/>
          <w:sz w:val="28"/>
          <w:szCs w:val="28"/>
        </w:rPr>
        <w:t xml:space="preserve">At the specialism level, </w:t>
      </w:r>
      <w:r w:rsidR="00220B95" w:rsidRPr="00220B95">
        <w:rPr>
          <w:rFonts w:ascii="Arial" w:hAnsi="Arial" w:cs="Arial"/>
          <w:sz w:val="28"/>
          <w:szCs w:val="28"/>
        </w:rPr>
        <w:t xml:space="preserve">Accountancy &amp; Finance and Technology decreased by 4% and 1% respectively. </w:t>
      </w:r>
      <w:r w:rsidR="0073046B">
        <w:rPr>
          <w:rFonts w:ascii="Arial" w:hAnsi="Arial" w:cs="Arial"/>
          <w:sz w:val="28"/>
          <w:szCs w:val="28"/>
        </w:rPr>
        <w:t xml:space="preserve">Engineering increased by an excellent 32%, with </w:t>
      </w:r>
      <w:r w:rsidR="00220B95" w:rsidRPr="00220B95">
        <w:rPr>
          <w:rFonts w:ascii="Arial" w:hAnsi="Arial" w:cs="Arial"/>
          <w:sz w:val="28"/>
          <w:szCs w:val="28"/>
        </w:rPr>
        <w:t xml:space="preserve">Education </w:t>
      </w:r>
      <w:r w:rsidR="0073046B">
        <w:rPr>
          <w:rFonts w:ascii="Arial" w:hAnsi="Arial" w:cs="Arial"/>
          <w:sz w:val="28"/>
          <w:szCs w:val="28"/>
        </w:rPr>
        <w:t xml:space="preserve">up </w:t>
      </w:r>
      <w:r w:rsidR="00220B95" w:rsidRPr="00220B95">
        <w:rPr>
          <w:rFonts w:ascii="Arial" w:hAnsi="Arial" w:cs="Arial"/>
          <w:sz w:val="28"/>
          <w:szCs w:val="28"/>
        </w:rPr>
        <w:t>6%, while Construction &amp; Property decreased by 7%</w:t>
      </w:r>
      <w:r w:rsidR="00220B95">
        <w:rPr>
          <w:rFonts w:ascii="Arial" w:hAnsi="Arial" w:cs="Arial"/>
          <w:sz w:val="28"/>
          <w:szCs w:val="28"/>
        </w:rPr>
        <w:t>.</w:t>
      </w:r>
    </w:p>
    <w:p w14:paraId="56B9358F" w14:textId="2D2852B1" w:rsidR="00411E0D" w:rsidRPr="0026705F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Ireland delivered another </w:t>
      </w:r>
      <w:r w:rsidR="002D16C7">
        <w:rPr>
          <w:rFonts w:ascii="Arial" w:hAnsi="Arial" w:cs="Arial"/>
          <w:sz w:val="28"/>
          <w:szCs w:val="28"/>
        </w:rPr>
        <w:t xml:space="preserve">strong </w:t>
      </w:r>
      <w:r>
        <w:rPr>
          <w:rFonts w:ascii="Arial" w:hAnsi="Arial" w:cs="Arial"/>
          <w:sz w:val="28"/>
          <w:szCs w:val="28"/>
        </w:rPr>
        <w:t xml:space="preserve">performance, with fees up </w:t>
      </w:r>
      <w:r w:rsidR="002D16C7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%.</w:t>
      </w:r>
    </w:p>
    <w:p w14:paraId="1A489DEC" w14:textId="29909C14" w:rsidR="00411E0D" w:rsidRPr="0068402A" w:rsidRDefault="00411E0D" w:rsidP="00411E0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6705F">
        <w:rPr>
          <w:rFonts w:ascii="Arial" w:hAnsi="Arial" w:cs="Arial"/>
          <w:sz w:val="28"/>
          <w:szCs w:val="28"/>
        </w:rPr>
        <w:t xml:space="preserve">Consultant headcount </w:t>
      </w:r>
      <w:r w:rsidR="0048274E">
        <w:rPr>
          <w:rFonts w:ascii="Arial" w:hAnsi="Arial" w:cs="Arial"/>
          <w:sz w:val="28"/>
          <w:szCs w:val="28"/>
        </w:rPr>
        <w:t>de</w:t>
      </w:r>
      <w:r w:rsidRPr="0026705F">
        <w:rPr>
          <w:rFonts w:ascii="Arial" w:hAnsi="Arial" w:cs="Arial"/>
          <w:sz w:val="28"/>
          <w:szCs w:val="28"/>
        </w:rPr>
        <w:t>creased by</w:t>
      </w:r>
      <w:r w:rsidR="006363AD">
        <w:rPr>
          <w:rFonts w:ascii="Arial" w:hAnsi="Arial" w:cs="Arial"/>
          <w:sz w:val="28"/>
          <w:szCs w:val="28"/>
        </w:rPr>
        <w:t xml:space="preserve"> </w:t>
      </w:r>
      <w:r w:rsidR="00323C36">
        <w:rPr>
          <w:rFonts w:ascii="Arial" w:hAnsi="Arial" w:cs="Arial"/>
          <w:sz w:val="28"/>
          <w:szCs w:val="28"/>
        </w:rPr>
        <w:t>3</w:t>
      </w:r>
      <w:r w:rsidR="006363AD">
        <w:rPr>
          <w:rFonts w:ascii="Arial" w:hAnsi="Arial" w:cs="Arial"/>
          <w:sz w:val="28"/>
          <w:szCs w:val="28"/>
        </w:rPr>
        <w:t>%</w:t>
      </w:r>
      <w:r w:rsidRPr="0026705F">
        <w:rPr>
          <w:rFonts w:ascii="Arial" w:hAnsi="Arial" w:cs="Arial"/>
          <w:sz w:val="28"/>
          <w:szCs w:val="28"/>
        </w:rPr>
        <w:t xml:space="preserve"> in the quarter and</w:t>
      </w:r>
      <w:r w:rsidR="006363AD">
        <w:rPr>
          <w:rFonts w:ascii="Arial" w:hAnsi="Arial" w:cs="Arial"/>
          <w:sz w:val="28"/>
          <w:szCs w:val="28"/>
        </w:rPr>
        <w:t xml:space="preserve"> </w:t>
      </w:r>
      <w:r w:rsidR="00323C36">
        <w:rPr>
          <w:rFonts w:ascii="Arial" w:hAnsi="Arial" w:cs="Arial"/>
          <w:sz w:val="28"/>
          <w:szCs w:val="28"/>
        </w:rPr>
        <w:t>was flat</w:t>
      </w:r>
      <w:r w:rsidRPr="0026705F">
        <w:rPr>
          <w:rFonts w:ascii="Arial" w:hAnsi="Arial" w:cs="Arial"/>
          <w:sz w:val="28"/>
          <w:szCs w:val="28"/>
        </w:rPr>
        <w:t xml:space="preserve"> year</w:t>
      </w:r>
      <w:r w:rsidR="006363AD">
        <w:rPr>
          <w:rFonts w:ascii="Arial" w:hAnsi="Arial" w:cs="Arial"/>
          <w:sz w:val="28"/>
          <w:szCs w:val="28"/>
        </w:rPr>
        <w:t>-</w:t>
      </w:r>
      <w:r w:rsidRPr="0068402A">
        <w:rPr>
          <w:rFonts w:ascii="Arial" w:hAnsi="Arial" w:cs="Arial"/>
          <w:sz w:val="28"/>
          <w:szCs w:val="28"/>
        </w:rPr>
        <w:t>on-year.</w:t>
      </w:r>
    </w:p>
    <w:p w14:paraId="000BBAA6" w14:textId="77777777" w:rsidR="00411E0D" w:rsidRDefault="00411E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584A99F" w14:textId="25D37971" w:rsidR="00260B21" w:rsidRPr="00165B7D" w:rsidRDefault="00EE4114" w:rsidP="00492324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68402A">
        <w:rPr>
          <w:rFonts w:ascii="Arial" w:hAnsi="Arial" w:cs="Arial"/>
          <w:sz w:val="28"/>
          <w:szCs w:val="28"/>
        </w:rPr>
        <w:lastRenderedPageBreak/>
        <w:t>O</w:t>
      </w:r>
      <w:r w:rsidR="00357FB3" w:rsidRPr="0068402A">
        <w:rPr>
          <w:rFonts w:ascii="Arial" w:hAnsi="Arial" w:cs="Arial"/>
          <w:sz w:val="28"/>
          <w:szCs w:val="28"/>
        </w:rPr>
        <w:t xml:space="preserve">ur </w:t>
      </w:r>
      <w:r w:rsidR="00336B34" w:rsidRPr="00A349E9">
        <w:rPr>
          <w:rFonts w:ascii="Arial" w:hAnsi="Arial" w:cs="Arial"/>
          <w:b/>
          <w:bCs/>
          <w:color w:val="934FAB" w:themeColor="accent5"/>
          <w:sz w:val="32"/>
          <w:szCs w:val="32"/>
        </w:rPr>
        <w:t>ANZ</w:t>
      </w:r>
      <w:r w:rsidR="00336B34" w:rsidRPr="00A349E9">
        <w:rPr>
          <w:rFonts w:ascii="Arial" w:hAnsi="Arial" w:cs="Arial"/>
          <w:color w:val="934FAB" w:themeColor="accent5"/>
          <w:sz w:val="32"/>
          <w:szCs w:val="32"/>
        </w:rPr>
        <w:t xml:space="preserve"> </w:t>
      </w:r>
      <w:r w:rsidR="00357FB3" w:rsidRPr="00165B7D">
        <w:rPr>
          <w:rFonts w:ascii="Arial" w:hAnsi="Arial" w:cs="Arial"/>
          <w:sz w:val="28"/>
          <w:szCs w:val="28"/>
        </w:rPr>
        <w:t>division</w:t>
      </w:r>
      <w:r w:rsidR="00B9440D" w:rsidRPr="00165B7D">
        <w:rPr>
          <w:rFonts w:ascii="Arial" w:hAnsi="Arial" w:cs="Arial"/>
          <w:sz w:val="28"/>
          <w:szCs w:val="28"/>
        </w:rPr>
        <w:t>,</w:t>
      </w:r>
      <w:r w:rsidR="0054359D" w:rsidRPr="00165B7D">
        <w:rPr>
          <w:rFonts w:ascii="Arial" w:hAnsi="Arial" w:cs="Arial"/>
          <w:sz w:val="28"/>
          <w:szCs w:val="28"/>
        </w:rPr>
        <w:t xml:space="preserve"> </w:t>
      </w:r>
      <w:r w:rsidRPr="00165B7D">
        <w:rPr>
          <w:rFonts w:ascii="Arial" w:hAnsi="Arial" w:cs="Arial"/>
          <w:sz w:val="28"/>
          <w:szCs w:val="28"/>
        </w:rPr>
        <w:t>1</w:t>
      </w:r>
      <w:r w:rsidR="00BB0122">
        <w:rPr>
          <w:rFonts w:ascii="Arial" w:hAnsi="Arial" w:cs="Arial"/>
          <w:sz w:val="28"/>
          <w:szCs w:val="28"/>
        </w:rPr>
        <w:t>4</w:t>
      </w:r>
      <w:r w:rsidR="00DD5B94" w:rsidRPr="00165B7D">
        <w:rPr>
          <w:rFonts w:ascii="Arial" w:hAnsi="Arial" w:cs="Arial"/>
          <w:sz w:val="28"/>
          <w:szCs w:val="28"/>
        </w:rPr>
        <w:t xml:space="preserve">% </w:t>
      </w:r>
      <w:r w:rsidR="00B24C6F" w:rsidRPr="00165B7D">
        <w:rPr>
          <w:rFonts w:ascii="Arial" w:hAnsi="Arial" w:cs="Arial"/>
          <w:sz w:val="28"/>
          <w:szCs w:val="28"/>
        </w:rPr>
        <w:t>of g</w:t>
      </w:r>
      <w:r w:rsidR="00DD5B94" w:rsidRPr="00165B7D">
        <w:rPr>
          <w:rFonts w:ascii="Arial" w:hAnsi="Arial" w:cs="Arial"/>
          <w:sz w:val="28"/>
          <w:szCs w:val="28"/>
        </w:rPr>
        <w:t xml:space="preserve">roup, </w:t>
      </w:r>
      <w:r w:rsidR="0048274E">
        <w:rPr>
          <w:rFonts w:ascii="Arial" w:hAnsi="Arial" w:cs="Arial"/>
          <w:sz w:val="28"/>
          <w:szCs w:val="28"/>
        </w:rPr>
        <w:t>de</w:t>
      </w:r>
      <w:r w:rsidR="006B08B8" w:rsidRPr="00165B7D">
        <w:rPr>
          <w:rFonts w:ascii="Arial" w:hAnsi="Arial" w:cs="Arial"/>
          <w:sz w:val="28"/>
          <w:szCs w:val="28"/>
        </w:rPr>
        <w:t xml:space="preserve">creased by </w:t>
      </w:r>
      <w:r w:rsidR="002D16C7">
        <w:rPr>
          <w:rFonts w:ascii="Arial" w:hAnsi="Arial" w:cs="Arial"/>
          <w:sz w:val="28"/>
          <w:szCs w:val="28"/>
        </w:rPr>
        <w:t>8</w:t>
      </w:r>
      <w:r w:rsidR="00A976CE" w:rsidRPr="00165B7D">
        <w:rPr>
          <w:rFonts w:ascii="Arial" w:hAnsi="Arial" w:cs="Arial"/>
          <w:sz w:val="28"/>
          <w:szCs w:val="28"/>
        </w:rPr>
        <w:t>%</w:t>
      </w:r>
      <w:r w:rsidR="002D16C7">
        <w:rPr>
          <w:rFonts w:ascii="Arial" w:hAnsi="Arial" w:cs="Arial"/>
          <w:sz w:val="28"/>
          <w:szCs w:val="28"/>
        </w:rPr>
        <w:t xml:space="preserve">. </w:t>
      </w:r>
    </w:p>
    <w:p w14:paraId="0DDC806F" w14:textId="070DFD37" w:rsidR="00FC784E" w:rsidRPr="00220B95" w:rsidRDefault="00260B21" w:rsidP="00492324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165B7D">
        <w:rPr>
          <w:rFonts w:ascii="Arial" w:hAnsi="Arial" w:cs="Arial"/>
          <w:sz w:val="28"/>
          <w:szCs w:val="28"/>
        </w:rPr>
        <w:t xml:space="preserve">Perm, </w:t>
      </w:r>
      <w:r w:rsidR="002D16C7">
        <w:rPr>
          <w:rFonts w:ascii="Arial" w:hAnsi="Arial" w:cs="Arial"/>
          <w:sz w:val="28"/>
          <w:szCs w:val="28"/>
        </w:rPr>
        <w:t>4</w:t>
      </w:r>
      <w:r w:rsidR="00220B95">
        <w:rPr>
          <w:rFonts w:ascii="Arial" w:hAnsi="Arial" w:cs="Arial"/>
          <w:sz w:val="28"/>
          <w:szCs w:val="28"/>
        </w:rPr>
        <w:t>0</w:t>
      </w:r>
      <w:r w:rsidRPr="00220B95">
        <w:rPr>
          <w:rFonts w:ascii="Arial" w:hAnsi="Arial" w:cs="Arial"/>
          <w:sz w:val="28"/>
          <w:szCs w:val="28"/>
        </w:rPr>
        <w:t>% of ANZ</w:t>
      </w:r>
      <w:r w:rsidR="00055CF2" w:rsidRPr="00220B95">
        <w:rPr>
          <w:rFonts w:ascii="Arial" w:hAnsi="Arial" w:cs="Arial"/>
          <w:sz w:val="28"/>
          <w:szCs w:val="28"/>
        </w:rPr>
        <w:t xml:space="preserve"> </w:t>
      </w:r>
      <w:r w:rsidRPr="00220B95">
        <w:rPr>
          <w:rFonts w:ascii="Arial" w:hAnsi="Arial" w:cs="Arial"/>
          <w:sz w:val="28"/>
          <w:szCs w:val="28"/>
        </w:rPr>
        <w:t xml:space="preserve">fees, </w:t>
      </w:r>
      <w:r w:rsidR="00323C36">
        <w:rPr>
          <w:rFonts w:ascii="Arial" w:hAnsi="Arial" w:cs="Arial"/>
          <w:sz w:val="28"/>
          <w:szCs w:val="28"/>
        </w:rPr>
        <w:t>declined by</w:t>
      </w:r>
      <w:r w:rsidR="00BB0122" w:rsidRPr="00220B95">
        <w:rPr>
          <w:rFonts w:ascii="Arial" w:hAnsi="Arial" w:cs="Arial"/>
          <w:sz w:val="28"/>
          <w:szCs w:val="28"/>
        </w:rPr>
        <w:t xml:space="preserve"> </w:t>
      </w:r>
      <w:r w:rsidR="00220B95" w:rsidRPr="00220B95">
        <w:rPr>
          <w:rFonts w:ascii="Arial" w:hAnsi="Arial" w:cs="Arial"/>
          <w:sz w:val="28"/>
          <w:szCs w:val="28"/>
        </w:rPr>
        <w:t>7</w:t>
      </w:r>
      <w:r w:rsidRPr="00220B95">
        <w:rPr>
          <w:rFonts w:ascii="Arial" w:hAnsi="Arial" w:cs="Arial"/>
          <w:sz w:val="28"/>
          <w:szCs w:val="28"/>
        </w:rPr>
        <w:t>%</w:t>
      </w:r>
      <w:r w:rsidR="00FA599D" w:rsidRPr="00FA599D">
        <w:t xml:space="preserve"> </w:t>
      </w:r>
      <w:r w:rsidR="00FA599D" w:rsidRPr="00FA599D">
        <w:rPr>
          <w:rFonts w:ascii="Arial" w:hAnsi="Arial" w:cs="Arial"/>
          <w:sz w:val="28"/>
          <w:szCs w:val="28"/>
        </w:rPr>
        <w:t xml:space="preserve">with volumes down </w:t>
      </w:r>
      <w:r w:rsidR="00323C36">
        <w:rPr>
          <w:rFonts w:ascii="Arial" w:hAnsi="Arial" w:cs="Arial"/>
          <w:sz w:val="28"/>
          <w:szCs w:val="28"/>
        </w:rPr>
        <w:t>18</w:t>
      </w:r>
      <w:r w:rsidR="00FA599D" w:rsidRPr="00FA599D">
        <w:rPr>
          <w:rFonts w:ascii="Arial" w:hAnsi="Arial" w:cs="Arial"/>
          <w:sz w:val="28"/>
          <w:szCs w:val="28"/>
        </w:rPr>
        <w:t xml:space="preserve">%, partially offset by pricing </w:t>
      </w:r>
      <w:r w:rsidR="00323C36">
        <w:rPr>
          <w:rFonts w:ascii="Arial" w:hAnsi="Arial" w:cs="Arial"/>
          <w:sz w:val="28"/>
          <w:szCs w:val="28"/>
        </w:rPr>
        <w:t xml:space="preserve">&amp; mix </w:t>
      </w:r>
      <w:r w:rsidR="00FA599D" w:rsidRPr="00FA599D">
        <w:rPr>
          <w:rFonts w:ascii="Arial" w:hAnsi="Arial" w:cs="Arial"/>
          <w:sz w:val="28"/>
          <w:szCs w:val="28"/>
        </w:rPr>
        <w:t xml:space="preserve">up </w:t>
      </w:r>
      <w:r w:rsidR="00323C36">
        <w:rPr>
          <w:rFonts w:ascii="Arial" w:hAnsi="Arial" w:cs="Arial"/>
          <w:sz w:val="28"/>
          <w:szCs w:val="28"/>
        </w:rPr>
        <w:t>1</w:t>
      </w:r>
      <w:r w:rsidR="0073046B">
        <w:rPr>
          <w:rFonts w:ascii="Arial" w:hAnsi="Arial" w:cs="Arial"/>
          <w:sz w:val="28"/>
          <w:szCs w:val="28"/>
        </w:rPr>
        <w:t>1</w:t>
      </w:r>
      <w:r w:rsidR="00FA599D" w:rsidRPr="00FA599D">
        <w:rPr>
          <w:rFonts w:ascii="Arial" w:hAnsi="Arial" w:cs="Arial"/>
          <w:sz w:val="28"/>
          <w:szCs w:val="28"/>
        </w:rPr>
        <w:t>%</w:t>
      </w:r>
      <w:r w:rsidR="00FC784E" w:rsidRPr="00220B95">
        <w:rPr>
          <w:rFonts w:ascii="Arial" w:hAnsi="Arial" w:cs="Arial"/>
          <w:sz w:val="28"/>
          <w:szCs w:val="28"/>
        </w:rPr>
        <w:t xml:space="preserve">. </w:t>
      </w:r>
      <w:r w:rsidR="00636D74" w:rsidRPr="00220B95">
        <w:rPr>
          <w:rFonts w:ascii="Arial" w:hAnsi="Arial" w:cs="Arial"/>
          <w:sz w:val="28"/>
          <w:szCs w:val="28"/>
        </w:rPr>
        <w:t xml:space="preserve">Temp </w:t>
      </w:r>
      <w:r w:rsidR="00323C36">
        <w:rPr>
          <w:rFonts w:ascii="Arial" w:hAnsi="Arial" w:cs="Arial"/>
          <w:sz w:val="28"/>
          <w:szCs w:val="28"/>
        </w:rPr>
        <w:t xml:space="preserve">fees </w:t>
      </w:r>
      <w:r w:rsidR="00AF59A4" w:rsidRPr="00220B95">
        <w:rPr>
          <w:rFonts w:ascii="Arial" w:hAnsi="Arial" w:cs="Arial"/>
          <w:sz w:val="28"/>
          <w:szCs w:val="28"/>
        </w:rPr>
        <w:t>de</w:t>
      </w:r>
      <w:r w:rsidR="00457332" w:rsidRPr="00220B95">
        <w:rPr>
          <w:rFonts w:ascii="Arial" w:hAnsi="Arial" w:cs="Arial"/>
          <w:sz w:val="28"/>
          <w:szCs w:val="28"/>
        </w:rPr>
        <w:t xml:space="preserve">creased by </w:t>
      </w:r>
      <w:r w:rsidR="00220B95" w:rsidRPr="00220B95">
        <w:rPr>
          <w:rFonts w:ascii="Arial" w:hAnsi="Arial" w:cs="Arial"/>
          <w:sz w:val="28"/>
          <w:szCs w:val="28"/>
        </w:rPr>
        <w:t>9</w:t>
      </w:r>
      <w:r w:rsidR="00457332" w:rsidRPr="00220B95">
        <w:rPr>
          <w:rFonts w:ascii="Arial" w:hAnsi="Arial" w:cs="Arial"/>
          <w:sz w:val="28"/>
          <w:szCs w:val="28"/>
        </w:rPr>
        <w:t>%</w:t>
      </w:r>
      <w:r w:rsidR="00FC784E" w:rsidRPr="00220B95">
        <w:rPr>
          <w:rFonts w:ascii="Arial" w:hAnsi="Arial" w:cs="Arial"/>
          <w:sz w:val="28"/>
          <w:szCs w:val="28"/>
        </w:rPr>
        <w:t xml:space="preserve">, with volumes down </w:t>
      </w:r>
      <w:r w:rsidR="00323C36">
        <w:rPr>
          <w:rFonts w:ascii="Arial" w:hAnsi="Arial" w:cs="Arial"/>
          <w:sz w:val="28"/>
          <w:szCs w:val="28"/>
        </w:rPr>
        <w:t>1</w:t>
      </w:r>
      <w:r w:rsidR="0073046B">
        <w:rPr>
          <w:rFonts w:ascii="Arial" w:hAnsi="Arial" w:cs="Arial"/>
          <w:sz w:val="28"/>
          <w:szCs w:val="28"/>
        </w:rPr>
        <w:t>4</w:t>
      </w:r>
      <w:r w:rsidR="00A144D0" w:rsidRPr="00220B95">
        <w:rPr>
          <w:rFonts w:ascii="Arial" w:hAnsi="Arial" w:cs="Arial"/>
          <w:sz w:val="28"/>
          <w:szCs w:val="28"/>
        </w:rPr>
        <w:t>%,</w:t>
      </w:r>
      <w:r w:rsidR="00FC784E" w:rsidRPr="00220B95">
        <w:rPr>
          <w:rFonts w:ascii="Arial" w:hAnsi="Arial" w:cs="Arial"/>
          <w:sz w:val="28"/>
          <w:szCs w:val="28"/>
        </w:rPr>
        <w:t xml:space="preserve"> </w:t>
      </w:r>
      <w:r w:rsidR="00FA599D">
        <w:rPr>
          <w:rFonts w:ascii="Arial" w:hAnsi="Arial" w:cs="Arial"/>
          <w:sz w:val="28"/>
          <w:szCs w:val="28"/>
        </w:rPr>
        <w:t xml:space="preserve">again </w:t>
      </w:r>
      <w:r w:rsidR="00FC784E" w:rsidRPr="00220B95">
        <w:rPr>
          <w:rFonts w:ascii="Arial" w:hAnsi="Arial" w:cs="Arial"/>
          <w:sz w:val="28"/>
          <w:szCs w:val="28"/>
        </w:rPr>
        <w:t xml:space="preserve">partially offset by improved margin and mix of </w:t>
      </w:r>
      <w:r w:rsidR="0073046B">
        <w:rPr>
          <w:rFonts w:ascii="Arial" w:hAnsi="Arial" w:cs="Arial"/>
          <w:sz w:val="28"/>
          <w:szCs w:val="28"/>
        </w:rPr>
        <w:t>5</w:t>
      </w:r>
      <w:r w:rsidR="00A144D0" w:rsidRPr="00220B95">
        <w:rPr>
          <w:rFonts w:ascii="Arial" w:hAnsi="Arial" w:cs="Arial"/>
          <w:sz w:val="28"/>
          <w:szCs w:val="28"/>
        </w:rPr>
        <w:t>%</w:t>
      </w:r>
      <w:r w:rsidR="00A62A48" w:rsidRPr="00220B95">
        <w:rPr>
          <w:rFonts w:ascii="Arial" w:hAnsi="Arial" w:cs="Arial"/>
          <w:sz w:val="28"/>
          <w:szCs w:val="28"/>
        </w:rPr>
        <w:t>.</w:t>
      </w:r>
    </w:p>
    <w:p w14:paraId="2565A0C9" w14:textId="5C92C263" w:rsidR="00370B59" w:rsidRPr="00220B95" w:rsidRDefault="00370B59" w:rsidP="00492324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20B95">
        <w:rPr>
          <w:rFonts w:ascii="Arial" w:hAnsi="Arial" w:cs="Arial"/>
          <w:sz w:val="28"/>
          <w:szCs w:val="28"/>
        </w:rPr>
        <w:t xml:space="preserve">The Private sector, </w:t>
      </w:r>
      <w:r w:rsidR="002276A0" w:rsidRPr="00220B95">
        <w:rPr>
          <w:rFonts w:ascii="Arial" w:hAnsi="Arial" w:cs="Arial"/>
          <w:sz w:val="28"/>
          <w:szCs w:val="28"/>
        </w:rPr>
        <w:t>6</w:t>
      </w:r>
      <w:r w:rsidR="002D16C7" w:rsidRPr="00220B95">
        <w:rPr>
          <w:rFonts w:ascii="Arial" w:hAnsi="Arial" w:cs="Arial"/>
          <w:sz w:val="28"/>
          <w:szCs w:val="28"/>
        </w:rPr>
        <w:t>7</w:t>
      </w:r>
      <w:r w:rsidR="002276A0" w:rsidRPr="00220B95">
        <w:rPr>
          <w:rFonts w:ascii="Arial" w:hAnsi="Arial" w:cs="Arial"/>
          <w:sz w:val="28"/>
          <w:szCs w:val="28"/>
        </w:rPr>
        <w:t xml:space="preserve">% </w:t>
      </w:r>
      <w:r w:rsidRPr="00220B95">
        <w:rPr>
          <w:rFonts w:ascii="Arial" w:hAnsi="Arial" w:cs="Arial"/>
          <w:sz w:val="28"/>
          <w:szCs w:val="28"/>
        </w:rPr>
        <w:t>of fees,</w:t>
      </w:r>
      <w:r w:rsidR="00602646" w:rsidRPr="00220B95">
        <w:rPr>
          <w:rFonts w:ascii="Arial" w:hAnsi="Arial" w:cs="Arial"/>
          <w:sz w:val="28"/>
          <w:szCs w:val="28"/>
        </w:rPr>
        <w:t xml:space="preserve"> </w:t>
      </w:r>
      <w:r w:rsidR="002276A0" w:rsidRPr="00220B95">
        <w:rPr>
          <w:rFonts w:ascii="Arial" w:hAnsi="Arial" w:cs="Arial"/>
          <w:sz w:val="28"/>
          <w:szCs w:val="28"/>
        </w:rPr>
        <w:t>de</w:t>
      </w:r>
      <w:r w:rsidR="00260B21" w:rsidRPr="00220B95">
        <w:rPr>
          <w:rFonts w:ascii="Arial" w:hAnsi="Arial" w:cs="Arial"/>
          <w:sz w:val="28"/>
          <w:szCs w:val="28"/>
        </w:rPr>
        <w:t>creased</w:t>
      </w:r>
      <w:r w:rsidR="0045224F" w:rsidRPr="00220B95">
        <w:rPr>
          <w:rFonts w:ascii="Arial" w:hAnsi="Arial" w:cs="Arial"/>
          <w:sz w:val="28"/>
          <w:szCs w:val="28"/>
        </w:rPr>
        <w:t xml:space="preserve"> by </w:t>
      </w:r>
      <w:r w:rsidR="002D16C7" w:rsidRPr="00220B95">
        <w:rPr>
          <w:rFonts w:ascii="Arial" w:hAnsi="Arial" w:cs="Arial"/>
          <w:sz w:val="28"/>
          <w:szCs w:val="28"/>
        </w:rPr>
        <w:t>7</w:t>
      </w:r>
      <w:r w:rsidR="00051D93" w:rsidRPr="00220B95">
        <w:rPr>
          <w:rFonts w:ascii="Arial" w:hAnsi="Arial" w:cs="Arial"/>
          <w:sz w:val="28"/>
          <w:szCs w:val="28"/>
        </w:rPr>
        <w:t xml:space="preserve">%, </w:t>
      </w:r>
      <w:r w:rsidR="00A62A48" w:rsidRPr="00220B95">
        <w:rPr>
          <w:rFonts w:ascii="Arial" w:hAnsi="Arial" w:cs="Arial"/>
          <w:sz w:val="28"/>
          <w:szCs w:val="28"/>
        </w:rPr>
        <w:t xml:space="preserve">with </w:t>
      </w:r>
      <w:r w:rsidR="00A144D0" w:rsidRPr="00220B95">
        <w:rPr>
          <w:rFonts w:ascii="Arial" w:hAnsi="Arial" w:cs="Arial"/>
          <w:sz w:val="28"/>
          <w:szCs w:val="28"/>
        </w:rPr>
        <w:t xml:space="preserve">the </w:t>
      </w:r>
      <w:proofErr w:type="gramStart"/>
      <w:r w:rsidR="00051D93" w:rsidRPr="00220B95">
        <w:rPr>
          <w:rFonts w:ascii="Arial" w:hAnsi="Arial" w:cs="Arial"/>
          <w:sz w:val="28"/>
          <w:szCs w:val="28"/>
        </w:rPr>
        <w:t>Public</w:t>
      </w:r>
      <w:proofErr w:type="gramEnd"/>
      <w:r w:rsidR="00051D93" w:rsidRPr="00220B95">
        <w:rPr>
          <w:rFonts w:ascii="Arial" w:hAnsi="Arial" w:cs="Arial"/>
          <w:sz w:val="28"/>
          <w:szCs w:val="28"/>
        </w:rPr>
        <w:t xml:space="preserve"> sector </w:t>
      </w:r>
      <w:r w:rsidR="002276A0" w:rsidRPr="00220B95">
        <w:rPr>
          <w:rFonts w:ascii="Arial" w:hAnsi="Arial" w:cs="Arial"/>
          <w:sz w:val="28"/>
          <w:szCs w:val="28"/>
        </w:rPr>
        <w:t xml:space="preserve">down </w:t>
      </w:r>
      <w:r w:rsidR="002D16C7" w:rsidRPr="00220B95">
        <w:rPr>
          <w:rFonts w:ascii="Arial" w:hAnsi="Arial" w:cs="Arial"/>
          <w:sz w:val="28"/>
          <w:szCs w:val="28"/>
        </w:rPr>
        <w:t>10</w:t>
      </w:r>
      <w:r w:rsidR="002276A0" w:rsidRPr="00220B95">
        <w:rPr>
          <w:rFonts w:ascii="Arial" w:hAnsi="Arial" w:cs="Arial"/>
          <w:sz w:val="28"/>
          <w:szCs w:val="28"/>
        </w:rPr>
        <w:t>%</w:t>
      </w:r>
      <w:r w:rsidR="0081160B">
        <w:rPr>
          <w:rFonts w:ascii="Arial" w:hAnsi="Arial" w:cs="Arial"/>
          <w:sz w:val="28"/>
          <w:szCs w:val="28"/>
        </w:rPr>
        <w:t>, as we continued to see more challenging Temp markets at the Federal government level</w:t>
      </w:r>
      <w:r w:rsidR="00051D93" w:rsidRPr="00220B95">
        <w:rPr>
          <w:rFonts w:ascii="Arial" w:hAnsi="Arial" w:cs="Arial"/>
          <w:sz w:val="28"/>
          <w:szCs w:val="28"/>
        </w:rPr>
        <w:t>.</w:t>
      </w:r>
    </w:p>
    <w:p w14:paraId="4052ABB2" w14:textId="30DF6E2C" w:rsidR="00A62A48" w:rsidRPr="00220B95" w:rsidRDefault="00EE4114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20B95">
        <w:rPr>
          <w:rFonts w:ascii="Arial" w:hAnsi="Arial" w:cs="Arial"/>
          <w:sz w:val="28"/>
          <w:szCs w:val="28"/>
        </w:rPr>
        <w:t>Australia</w:t>
      </w:r>
      <w:r w:rsidR="00F33301" w:rsidRPr="00220B95">
        <w:rPr>
          <w:rFonts w:ascii="Arial" w:hAnsi="Arial" w:cs="Arial"/>
          <w:sz w:val="28"/>
          <w:szCs w:val="28"/>
        </w:rPr>
        <w:t xml:space="preserve"> </w:t>
      </w:r>
      <w:r w:rsidR="005D57FA" w:rsidRPr="00220B95">
        <w:rPr>
          <w:rFonts w:ascii="Arial" w:hAnsi="Arial" w:cs="Arial"/>
          <w:sz w:val="28"/>
          <w:szCs w:val="28"/>
        </w:rPr>
        <w:t xml:space="preserve">fees </w:t>
      </w:r>
      <w:r w:rsidR="002276A0" w:rsidRPr="00220B95">
        <w:rPr>
          <w:rFonts w:ascii="Arial" w:hAnsi="Arial" w:cs="Arial"/>
          <w:sz w:val="28"/>
          <w:szCs w:val="28"/>
        </w:rPr>
        <w:t>de</w:t>
      </w:r>
      <w:r w:rsidR="00B03C7C" w:rsidRPr="00220B95">
        <w:rPr>
          <w:rFonts w:ascii="Arial" w:hAnsi="Arial" w:cs="Arial"/>
          <w:sz w:val="28"/>
          <w:szCs w:val="28"/>
        </w:rPr>
        <w:t>creased</w:t>
      </w:r>
      <w:r w:rsidR="00CE30DC" w:rsidRPr="00220B95">
        <w:rPr>
          <w:rFonts w:ascii="Arial" w:hAnsi="Arial" w:cs="Arial"/>
          <w:sz w:val="28"/>
          <w:szCs w:val="28"/>
        </w:rPr>
        <w:t xml:space="preserve"> </w:t>
      </w:r>
      <w:r w:rsidR="00165B7D" w:rsidRPr="00220B95">
        <w:rPr>
          <w:rFonts w:ascii="Arial" w:hAnsi="Arial" w:cs="Arial"/>
          <w:sz w:val="28"/>
          <w:szCs w:val="28"/>
        </w:rPr>
        <w:t xml:space="preserve">by </w:t>
      </w:r>
      <w:r w:rsidR="0073046B">
        <w:rPr>
          <w:rFonts w:ascii="Arial" w:hAnsi="Arial" w:cs="Arial"/>
          <w:sz w:val="28"/>
          <w:szCs w:val="28"/>
        </w:rPr>
        <w:t>9</w:t>
      </w:r>
      <w:r w:rsidR="00CE30DC" w:rsidRPr="00220B95">
        <w:rPr>
          <w:rFonts w:ascii="Arial" w:hAnsi="Arial" w:cs="Arial"/>
          <w:sz w:val="28"/>
          <w:szCs w:val="28"/>
        </w:rPr>
        <w:t>%</w:t>
      </w:r>
      <w:r w:rsidR="00BD0E41" w:rsidRPr="00220B95">
        <w:rPr>
          <w:rFonts w:ascii="Arial" w:hAnsi="Arial" w:cs="Arial"/>
          <w:sz w:val="28"/>
          <w:szCs w:val="28"/>
        </w:rPr>
        <w:t xml:space="preserve">, </w:t>
      </w:r>
      <w:r w:rsidR="002276A0" w:rsidRPr="00220B95">
        <w:rPr>
          <w:rFonts w:ascii="Arial" w:hAnsi="Arial" w:cs="Arial"/>
          <w:sz w:val="28"/>
          <w:szCs w:val="28"/>
        </w:rPr>
        <w:t>with</w:t>
      </w:r>
      <w:r w:rsidR="00165B7D" w:rsidRPr="00220B95">
        <w:rPr>
          <w:rFonts w:ascii="Arial" w:hAnsi="Arial" w:cs="Arial"/>
          <w:sz w:val="28"/>
          <w:szCs w:val="28"/>
        </w:rPr>
        <w:t xml:space="preserve"> </w:t>
      </w:r>
      <w:r w:rsidR="00AF59A4" w:rsidRPr="00220B95">
        <w:rPr>
          <w:rFonts w:ascii="Arial" w:hAnsi="Arial" w:cs="Arial"/>
          <w:sz w:val="28"/>
          <w:szCs w:val="28"/>
        </w:rPr>
        <w:t>New South Wales</w:t>
      </w:r>
      <w:r w:rsidR="00BD0E41" w:rsidRPr="00220B95">
        <w:rPr>
          <w:rFonts w:ascii="Arial" w:hAnsi="Arial" w:cs="Arial"/>
          <w:sz w:val="28"/>
          <w:szCs w:val="28"/>
        </w:rPr>
        <w:t xml:space="preserve"> </w:t>
      </w:r>
      <w:r w:rsidR="002276A0" w:rsidRPr="00220B95">
        <w:rPr>
          <w:rFonts w:ascii="Arial" w:hAnsi="Arial" w:cs="Arial"/>
          <w:sz w:val="28"/>
          <w:szCs w:val="28"/>
        </w:rPr>
        <w:t>down</w:t>
      </w:r>
      <w:r w:rsidR="00BD0E41" w:rsidRPr="00220B95">
        <w:rPr>
          <w:rFonts w:ascii="Arial" w:hAnsi="Arial" w:cs="Arial"/>
          <w:sz w:val="28"/>
          <w:szCs w:val="28"/>
        </w:rPr>
        <w:t xml:space="preserve"> </w:t>
      </w:r>
      <w:r w:rsidR="00220B95" w:rsidRPr="00220B95">
        <w:rPr>
          <w:rFonts w:ascii="Arial" w:hAnsi="Arial" w:cs="Arial"/>
          <w:sz w:val="28"/>
          <w:szCs w:val="28"/>
        </w:rPr>
        <w:t>11</w:t>
      </w:r>
      <w:r w:rsidR="00BD0E41" w:rsidRPr="00220B95">
        <w:rPr>
          <w:rFonts w:ascii="Arial" w:hAnsi="Arial" w:cs="Arial"/>
          <w:sz w:val="28"/>
          <w:szCs w:val="28"/>
        </w:rPr>
        <w:t>%</w:t>
      </w:r>
      <w:r w:rsidR="00A144D0" w:rsidRPr="00220B95">
        <w:rPr>
          <w:rFonts w:ascii="Arial" w:hAnsi="Arial" w:cs="Arial"/>
          <w:sz w:val="28"/>
          <w:szCs w:val="28"/>
        </w:rPr>
        <w:t xml:space="preserve"> and Victoria down 1</w:t>
      </w:r>
      <w:r w:rsidR="00220B95" w:rsidRPr="00220B95">
        <w:rPr>
          <w:rFonts w:ascii="Arial" w:hAnsi="Arial" w:cs="Arial"/>
          <w:sz w:val="28"/>
          <w:szCs w:val="28"/>
        </w:rPr>
        <w:t>3</w:t>
      </w:r>
      <w:r w:rsidR="00A144D0" w:rsidRPr="00220B95">
        <w:rPr>
          <w:rFonts w:ascii="Arial" w:hAnsi="Arial" w:cs="Arial"/>
          <w:sz w:val="28"/>
          <w:szCs w:val="28"/>
        </w:rPr>
        <w:t>%</w:t>
      </w:r>
      <w:r w:rsidR="00BD0E41" w:rsidRPr="00220B95">
        <w:rPr>
          <w:rFonts w:ascii="Arial" w:hAnsi="Arial" w:cs="Arial"/>
          <w:sz w:val="28"/>
          <w:szCs w:val="28"/>
        </w:rPr>
        <w:t>. Our</w:t>
      </w:r>
      <w:r w:rsidR="00BB68A7" w:rsidRPr="00220B95">
        <w:rPr>
          <w:rFonts w:ascii="Arial" w:hAnsi="Arial" w:cs="Arial"/>
          <w:sz w:val="28"/>
          <w:szCs w:val="28"/>
        </w:rPr>
        <w:t xml:space="preserve"> </w:t>
      </w:r>
      <w:r w:rsidR="00BD0E41" w:rsidRPr="00220B95">
        <w:rPr>
          <w:rFonts w:ascii="Arial" w:hAnsi="Arial" w:cs="Arial"/>
          <w:sz w:val="28"/>
          <w:szCs w:val="28"/>
        </w:rPr>
        <w:t xml:space="preserve">largest </w:t>
      </w:r>
      <w:r w:rsidR="002276A0" w:rsidRPr="00220B95">
        <w:rPr>
          <w:rFonts w:ascii="Arial" w:hAnsi="Arial" w:cs="Arial"/>
          <w:sz w:val="28"/>
          <w:szCs w:val="28"/>
        </w:rPr>
        <w:t xml:space="preserve">ANZ </w:t>
      </w:r>
      <w:r w:rsidR="00DD0467" w:rsidRPr="00220B95">
        <w:rPr>
          <w:rFonts w:ascii="Arial" w:hAnsi="Arial" w:cs="Arial"/>
          <w:sz w:val="28"/>
          <w:szCs w:val="28"/>
        </w:rPr>
        <w:t>specialism</w:t>
      </w:r>
      <w:r w:rsidR="00BD0E41" w:rsidRPr="00220B95">
        <w:rPr>
          <w:rFonts w:ascii="Arial" w:hAnsi="Arial" w:cs="Arial"/>
          <w:sz w:val="28"/>
          <w:szCs w:val="28"/>
        </w:rPr>
        <w:t>, Construction &amp; Property</w:t>
      </w:r>
      <w:r w:rsidR="00BB68A7" w:rsidRPr="00220B95">
        <w:rPr>
          <w:rFonts w:ascii="Arial" w:hAnsi="Arial" w:cs="Arial"/>
          <w:sz w:val="28"/>
          <w:szCs w:val="28"/>
        </w:rPr>
        <w:t xml:space="preserve">, </w:t>
      </w:r>
      <w:r w:rsidR="00220B95" w:rsidRPr="00220B95">
        <w:rPr>
          <w:rFonts w:ascii="Arial" w:hAnsi="Arial" w:cs="Arial"/>
          <w:sz w:val="28"/>
          <w:szCs w:val="28"/>
        </w:rPr>
        <w:t>decreased by</w:t>
      </w:r>
      <w:r w:rsidR="00415F3C" w:rsidRPr="00220B95">
        <w:rPr>
          <w:rFonts w:ascii="Arial" w:hAnsi="Arial" w:cs="Arial"/>
          <w:sz w:val="28"/>
          <w:szCs w:val="28"/>
        </w:rPr>
        <w:t xml:space="preserve"> </w:t>
      </w:r>
      <w:r w:rsidR="002276A0" w:rsidRPr="00220B95">
        <w:rPr>
          <w:rFonts w:ascii="Arial" w:hAnsi="Arial" w:cs="Arial"/>
          <w:sz w:val="28"/>
          <w:szCs w:val="28"/>
        </w:rPr>
        <w:t>4</w:t>
      </w:r>
      <w:r w:rsidR="00BD0E41" w:rsidRPr="00220B95">
        <w:rPr>
          <w:rFonts w:ascii="Arial" w:hAnsi="Arial" w:cs="Arial"/>
          <w:sz w:val="28"/>
          <w:szCs w:val="28"/>
        </w:rPr>
        <w:t>%</w:t>
      </w:r>
      <w:r w:rsidR="002276A0" w:rsidRPr="00220B95">
        <w:rPr>
          <w:rFonts w:ascii="Arial" w:hAnsi="Arial" w:cs="Arial"/>
          <w:sz w:val="28"/>
          <w:szCs w:val="28"/>
        </w:rPr>
        <w:t xml:space="preserve">, </w:t>
      </w:r>
      <w:r w:rsidR="00220B95" w:rsidRPr="00220B95">
        <w:rPr>
          <w:rFonts w:ascii="Arial" w:hAnsi="Arial" w:cs="Arial"/>
          <w:sz w:val="28"/>
          <w:szCs w:val="28"/>
        </w:rPr>
        <w:t>with</w:t>
      </w:r>
      <w:r w:rsidR="002276A0" w:rsidRPr="00220B95">
        <w:rPr>
          <w:rFonts w:ascii="Arial" w:hAnsi="Arial" w:cs="Arial"/>
          <w:sz w:val="28"/>
          <w:szCs w:val="28"/>
        </w:rPr>
        <w:t xml:space="preserve"> our second-largest, Technology, </w:t>
      </w:r>
      <w:r w:rsidR="00220B95" w:rsidRPr="00220B95">
        <w:rPr>
          <w:rFonts w:ascii="Arial" w:hAnsi="Arial" w:cs="Arial"/>
          <w:sz w:val="28"/>
          <w:szCs w:val="28"/>
        </w:rPr>
        <w:t>down 6%</w:t>
      </w:r>
      <w:r w:rsidR="005B3FED" w:rsidRPr="00220B95">
        <w:rPr>
          <w:rFonts w:ascii="Arial" w:hAnsi="Arial" w:cs="Arial"/>
          <w:sz w:val="28"/>
          <w:szCs w:val="28"/>
        </w:rPr>
        <w:t xml:space="preserve">. </w:t>
      </w:r>
      <w:r w:rsidR="00220B95" w:rsidRPr="00220B95">
        <w:rPr>
          <w:rFonts w:ascii="Arial" w:hAnsi="Arial" w:cs="Arial"/>
          <w:sz w:val="28"/>
          <w:szCs w:val="28"/>
        </w:rPr>
        <w:t>O</w:t>
      </w:r>
      <w:r w:rsidR="005B3FED" w:rsidRPr="00220B95">
        <w:rPr>
          <w:rFonts w:ascii="Arial" w:hAnsi="Arial" w:cs="Arial"/>
          <w:sz w:val="28"/>
          <w:szCs w:val="28"/>
        </w:rPr>
        <w:t>ur</w:t>
      </w:r>
      <w:r w:rsidR="00A62A48" w:rsidRPr="00220B95">
        <w:rPr>
          <w:rFonts w:ascii="Arial" w:hAnsi="Arial" w:cs="Arial"/>
          <w:sz w:val="28"/>
          <w:szCs w:val="28"/>
        </w:rPr>
        <w:t xml:space="preserve"> ‘other’ smaller specialisms </w:t>
      </w:r>
      <w:r w:rsidR="00220B95" w:rsidRPr="00220B95">
        <w:rPr>
          <w:rFonts w:ascii="Arial" w:hAnsi="Arial" w:cs="Arial"/>
          <w:sz w:val="28"/>
          <w:szCs w:val="28"/>
        </w:rPr>
        <w:t xml:space="preserve">fell </w:t>
      </w:r>
      <w:r w:rsidR="00A62A48" w:rsidRPr="00220B95">
        <w:rPr>
          <w:rFonts w:ascii="Arial" w:hAnsi="Arial" w:cs="Arial"/>
          <w:sz w:val="28"/>
          <w:szCs w:val="28"/>
        </w:rPr>
        <w:t>1</w:t>
      </w:r>
      <w:r w:rsidR="00220B95" w:rsidRPr="00220B95">
        <w:rPr>
          <w:rFonts w:ascii="Arial" w:hAnsi="Arial" w:cs="Arial"/>
          <w:sz w:val="28"/>
          <w:szCs w:val="28"/>
        </w:rPr>
        <w:t>0</w:t>
      </w:r>
      <w:r w:rsidR="00A62A48" w:rsidRPr="00220B95">
        <w:rPr>
          <w:rFonts w:ascii="Arial" w:hAnsi="Arial" w:cs="Arial"/>
          <w:sz w:val="28"/>
          <w:szCs w:val="28"/>
        </w:rPr>
        <w:t>%</w:t>
      </w:r>
      <w:r w:rsidR="00220B95" w:rsidRPr="00220B95">
        <w:rPr>
          <w:rFonts w:ascii="Arial" w:hAnsi="Arial" w:cs="Arial"/>
          <w:sz w:val="28"/>
          <w:szCs w:val="28"/>
        </w:rPr>
        <w:t xml:space="preserve"> in aggregate</w:t>
      </w:r>
      <w:r w:rsidR="005E637A" w:rsidRPr="00220B95">
        <w:rPr>
          <w:rFonts w:ascii="Arial" w:hAnsi="Arial" w:cs="Arial"/>
          <w:sz w:val="28"/>
          <w:szCs w:val="28"/>
        </w:rPr>
        <w:t xml:space="preserve">. </w:t>
      </w:r>
    </w:p>
    <w:p w14:paraId="0B411D4F" w14:textId="5035E8D3" w:rsidR="006D45CA" w:rsidRPr="00220B95" w:rsidRDefault="00372A54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20B95">
        <w:rPr>
          <w:rFonts w:ascii="Arial" w:hAnsi="Arial" w:cs="Arial"/>
          <w:sz w:val="28"/>
          <w:szCs w:val="28"/>
        </w:rPr>
        <w:t>New Zealand</w:t>
      </w:r>
      <w:r w:rsidR="00937C53" w:rsidRPr="00220B95">
        <w:rPr>
          <w:rFonts w:ascii="Arial" w:hAnsi="Arial" w:cs="Arial"/>
          <w:sz w:val="28"/>
          <w:szCs w:val="28"/>
        </w:rPr>
        <w:t>,</w:t>
      </w:r>
      <w:r w:rsidR="00A51E08" w:rsidRPr="00220B95">
        <w:rPr>
          <w:rFonts w:ascii="Arial" w:hAnsi="Arial" w:cs="Arial"/>
          <w:sz w:val="28"/>
          <w:szCs w:val="28"/>
        </w:rPr>
        <w:t xml:space="preserve"> </w:t>
      </w:r>
      <w:r w:rsidR="0073046B">
        <w:rPr>
          <w:rFonts w:ascii="Arial" w:hAnsi="Arial" w:cs="Arial"/>
          <w:sz w:val="28"/>
          <w:szCs w:val="28"/>
        </w:rPr>
        <w:t>10</w:t>
      </w:r>
      <w:r w:rsidR="00A51E08" w:rsidRPr="00220B95">
        <w:rPr>
          <w:rFonts w:ascii="Arial" w:hAnsi="Arial" w:cs="Arial"/>
          <w:sz w:val="28"/>
          <w:szCs w:val="28"/>
        </w:rPr>
        <w:t xml:space="preserve">% of </w:t>
      </w:r>
      <w:r w:rsidR="004A7F9C" w:rsidRPr="00220B95">
        <w:rPr>
          <w:rFonts w:ascii="Arial" w:hAnsi="Arial" w:cs="Arial"/>
          <w:sz w:val="28"/>
          <w:szCs w:val="28"/>
        </w:rPr>
        <w:t>ANZ fees</w:t>
      </w:r>
      <w:r w:rsidR="00A51E08" w:rsidRPr="00220B95">
        <w:rPr>
          <w:rFonts w:ascii="Arial" w:hAnsi="Arial" w:cs="Arial"/>
          <w:sz w:val="28"/>
          <w:szCs w:val="28"/>
        </w:rPr>
        <w:t xml:space="preserve">, </w:t>
      </w:r>
      <w:r w:rsidR="00DF4E7C" w:rsidRPr="00220B95">
        <w:rPr>
          <w:rFonts w:ascii="Arial" w:hAnsi="Arial" w:cs="Arial"/>
          <w:sz w:val="28"/>
          <w:szCs w:val="28"/>
        </w:rPr>
        <w:t xml:space="preserve">continued its </w:t>
      </w:r>
      <w:r w:rsidR="00323C36">
        <w:rPr>
          <w:rFonts w:ascii="Arial" w:hAnsi="Arial" w:cs="Arial"/>
          <w:sz w:val="28"/>
          <w:szCs w:val="28"/>
        </w:rPr>
        <w:t>record</w:t>
      </w:r>
      <w:r w:rsidR="00DF4E7C" w:rsidRPr="00220B95">
        <w:rPr>
          <w:rFonts w:ascii="Arial" w:hAnsi="Arial" w:cs="Arial"/>
          <w:sz w:val="28"/>
          <w:szCs w:val="28"/>
        </w:rPr>
        <w:t xml:space="preserve"> run </w:t>
      </w:r>
      <w:r w:rsidR="00165B7D" w:rsidRPr="00220B95">
        <w:rPr>
          <w:rFonts w:ascii="Arial" w:hAnsi="Arial" w:cs="Arial"/>
          <w:sz w:val="28"/>
          <w:szCs w:val="28"/>
        </w:rPr>
        <w:t xml:space="preserve">and </w:t>
      </w:r>
      <w:r w:rsidR="00260B21" w:rsidRPr="00220B95">
        <w:rPr>
          <w:rFonts w:ascii="Arial" w:hAnsi="Arial" w:cs="Arial"/>
          <w:sz w:val="28"/>
          <w:szCs w:val="28"/>
        </w:rPr>
        <w:t>in</w:t>
      </w:r>
      <w:r w:rsidR="006902E0" w:rsidRPr="00220B95">
        <w:rPr>
          <w:rFonts w:ascii="Arial" w:hAnsi="Arial" w:cs="Arial"/>
          <w:sz w:val="28"/>
          <w:szCs w:val="28"/>
        </w:rPr>
        <w:t>creased by</w:t>
      </w:r>
      <w:r w:rsidR="004A7F9C" w:rsidRPr="00220B95">
        <w:rPr>
          <w:rFonts w:ascii="Arial" w:hAnsi="Arial" w:cs="Arial"/>
          <w:sz w:val="28"/>
          <w:szCs w:val="28"/>
        </w:rPr>
        <w:t xml:space="preserve"> </w:t>
      </w:r>
      <w:r w:rsidR="004B779F" w:rsidRPr="00220B95">
        <w:rPr>
          <w:rFonts w:ascii="Arial" w:hAnsi="Arial" w:cs="Arial"/>
          <w:sz w:val="28"/>
          <w:szCs w:val="28"/>
        </w:rPr>
        <w:t>3</w:t>
      </w:r>
      <w:r w:rsidR="00F20CEB" w:rsidRPr="00220B95">
        <w:rPr>
          <w:rFonts w:ascii="Arial" w:hAnsi="Arial" w:cs="Arial"/>
          <w:sz w:val="28"/>
          <w:szCs w:val="28"/>
        </w:rPr>
        <w:t>%</w:t>
      </w:r>
      <w:r w:rsidR="00415F3C" w:rsidRPr="00220B95">
        <w:rPr>
          <w:rFonts w:ascii="Arial" w:hAnsi="Arial" w:cs="Arial"/>
          <w:sz w:val="28"/>
          <w:szCs w:val="28"/>
        </w:rPr>
        <w:t>.</w:t>
      </w:r>
    </w:p>
    <w:p w14:paraId="5C0E0A08" w14:textId="1AF806DE" w:rsidR="00372A54" w:rsidRPr="0068402A" w:rsidRDefault="00372A54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20B95">
        <w:rPr>
          <w:rFonts w:ascii="Arial" w:hAnsi="Arial" w:cs="Arial"/>
          <w:sz w:val="28"/>
          <w:szCs w:val="28"/>
        </w:rPr>
        <w:t xml:space="preserve">Consultant headcount </w:t>
      </w:r>
      <w:r w:rsidR="00323C36">
        <w:rPr>
          <w:rFonts w:ascii="Arial" w:hAnsi="Arial" w:cs="Arial"/>
          <w:sz w:val="28"/>
          <w:szCs w:val="28"/>
        </w:rPr>
        <w:t>decreased by 2%</w:t>
      </w:r>
      <w:r w:rsidR="004B779F" w:rsidRPr="00220B95">
        <w:rPr>
          <w:rFonts w:ascii="Arial" w:hAnsi="Arial" w:cs="Arial"/>
          <w:sz w:val="28"/>
          <w:szCs w:val="28"/>
        </w:rPr>
        <w:t xml:space="preserve"> </w:t>
      </w:r>
      <w:r w:rsidR="00310BC0" w:rsidRPr="00220B95">
        <w:rPr>
          <w:rFonts w:ascii="Arial" w:hAnsi="Arial" w:cs="Arial"/>
          <w:sz w:val="28"/>
          <w:szCs w:val="28"/>
        </w:rPr>
        <w:t>in the</w:t>
      </w:r>
      <w:r w:rsidR="00310BC0" w:rsidRPr="00165B7D">
        <w:rPr>
          <w:rFonts w:ascii="Arial" w:hAnsi="Arial" w:cs="Arial"/>
          <w:sz w:val="28"/>
          <w:szCs w:val="28"/>
        </w:rPr>
        <w:t xml:space="preserve"> </w:t>
      </w:r>
      <w:r w:rsidR="002B3ECB" w:rsidRPr="00165B7D">
        <w:rPr>
          <w:rFonts w:ascii="Arial" w:hAnsi="Arial" w:cs="Arial"/>
          <w:sz w:val="28"/>
          <w:szCs w:val="28"/>
        </w:rPr>
        <w:t xml:space="preserve">quarter </w:t>
      </w:r>
      <w:r w:rsidR="00AE6301" w:rsidRPr="00165B7D">
        <w:rPr>
          <w:rFonts w:ascii="Arial" w:hAnsi="Arial" w:cs="Arial"/>
          <w:sz w:val="28"/>
          <w:szCs w:val="28"/>
        </w:rPr>
        <w:t xml:space="preserve">and </w:t>
      </w:r>
      <w:r w:rsidR="002276A0">
        <w:rPr>
          <w:rFonts w:ascii="Arial" w:hAnsi="Arial" w:cs="Arial"/>
          <w:sz w:val="28"/>
          <w:szCs w:val="28"/>
        </w:rPr>
        <w:t xml:space="preserve">by </w:t>
      </w:r>
      <w:r w:rsidR="004B779F">
        <w:rPr>
          <w:rFonts w:ascii="Arial" w:hAnsi="Arial" w:cs="Arial"/>
          <w:sz w:val="28"/>
          <w:szCs w:val="28"/>
        </w:rPr>
        <w:t>1</w:t>
      </w:r>
      <w:r w:rsidR="002276A0">
        <w:rPr>
          <w:rFonts w:ascii="Arial" w:hAnsi="Arial" w:cs="Arial"/>
          <w:sz w:val="28"/>
          <w:szCs w:val="28"/>
        </w:rPr>
        <w:t>%</w:t>
      </w:r>
      <w:r w:rsidR="00AE6301" w:rsidRPr="00165B7D">
        <w:rPr>
          <w:rFonts w:ascii="Arial" w:hAnsi="Arial" w:cs="Arial"/>
          <w:sz w:val="28"/>
          <w:szCs w:val="28"/>
        </w:rPr>
        <w:t xml:space="preserve"> </w:t>
      </w:r>
      <w:r w:rsidR="00671784" w:rsidRPr="00165B7D">
        <w:rPr>
          <w:rFonts w:ascii="Arial" w:hAnsi="Arial" w:cs="Arial"/>
          <w:sz w:val="28"/>
          <w:szCs w:val="28"/>
        </w:rPr>
        <w:t>y</w:t>
      </w:r>
      <w:r w:rsidRPr="00165B7D">
        <w:rPr>
          <w:rFonts w:ascii="Arial" w:hAnsi="Arial" w:cs="Arial"/>
          <w:sz w:val="28"/>
          <w:szCs w:val="28"/>
        </w:rPr>
        <w:t>ear-on-year.</w:t>
      </w:r>
    </w:p>
    <w:p w14:paraId="21A3C6CD" w14:textId="77777777" w:rsidR="00372A54" w:rsidRPr="0068402A" w:rsidRDefault="00372A54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</w:p>
    <w:p w14:paraId="60361962" w14:textId="79DE046A" w:rsidR="00117267" w:rsidRPr="0068402A" w:rsidRDefault="00551B0F" w:rsidP="00411E0D">
      <w:pPr>
        <w:pStyle w:val="BodyText"/>
        <w:spacing w:before="480" w:after="120"/>
        <w:ind w:right="64"/>
        <w:jc w:val="both"/>
        <w:rPr>
          <w:sz w:val="28"/>
          <w:szCs w:val="28"/>
        </w:rPr>
      </w:pPr>
      <w:r w:rsidRPr="0068402A">
        <w:rPr>
          <w:sz w:val="28"/>
          <w:szCs w:val="28"/>
        </w:rPr>
        <w:br w:type="page"/>
      </w:r>
    </w:p>
    <w:p w14:paraId="4707BD57" w14:textId="13828B7C" w:rsidR="00B83270" w:rsidRDefault="00A144D0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A144D0">
        <w:rPr>
          <w:rFonts w:ascii="Arial" w:hAnsi="Arial" w:cs="Arial"/>
          <w:sz w:val="28"/>
          <w:szCs w:val="28"/>
        </w:rPr>
        <w:lastRenderedPageBreak/>
        <w:t xml:space="preserve">In </w:t>
      </w:r>
      <w:r w:rsidR="00551B0F" w:rsidRPr="00A349E9">
        <w:rPr>
          <w:rFonts w:ascii="Arial" w:hAnsi="Arial" w:cs="Arial"/>
          <w:b/>
          <w:color w:val="00A0FF" w:themeColor="accent3"/>
          <w:sz w:val="32"/>
          <w:szCs w:val="28"/>
        </w:rPr>
        <w:t>R</w:t>
      </w:r>
      <w:r w:rsidR="00E86CE8" w:rsidRPr="00A349E9">
        <w:rPr>
          <w:rFonts w:ascii="Arial" w:hAnsi="Arial" w:cs="Arial"/>
          <w:b/>
          <w:color w:val="00A0FF" w:themeColor="accent3"/>
          <w:sz w:val="32"/>
          <w:szCs w:val="28"/>
        </w:rPr>
        <w:t>EST OF WORLD</w:t>
      </w:r>
      <w:r w:rsidR="00921C56" w:rsidRPr="0068402A">
        <w:rPr>
          <w:rFonts w:ascii="Arial" w:hAnsi="Arial" w:cs="Arial"/>
          <w:sz w:val="28"/>
          <w:szCs w:val="28"/>
        </w:rPr>
        <w:t xml:space="preserve">, </w:t>
      </w:r>
      <w:r w:rsidR="00B078BD">
        <w:rPr>
          <w:rFonts w:ascii="Arial" w:hAnsi="Arial" w:cs="Arial"/>
          <w:sz w:val="28"/>
          <w:szCs w:val="28"/>
        </w:rPr>
        <w:t xml:space="preserve">representing </w:t>
      </w:r>
      <w:r w:rsidR="008A4139" w:rsidRPr="0026705F">
        <w:rPr>
          <w:rFonts w:ascii="Arial" w:hAnsi="Arial" w:cs="Arial"/>
          <w:sz w:val="28"/>
          <w:szCs w:val="28"/>
        </w:rPr>
        <w:t>3</w:t>
      </w:r>
      <w:r w:rsidR="004B779F">
        <w:rPr>
          <w:rFonts w:ascii="Arial" w:hAnsi="Arial" w:cs="Arial"/>
          <w:sz w:val="28"/>
          <w:szCs w:val="28"/>
        </w:rPr>
        <w:t>4</w:t>
      </w:r>
      <w:r w:rsidR="008A4139" w:rsidRPr="0026705F">
        <w:rPr>
          <w:rFonts w:ascii="Arial" w:hAnsi="Arial" w:cs="Arial"/>
          <w:sz w:val="28"/>
          <w:szCs w:val="28"/>
        </w:rPr>
        <w:t xml:space="preserve">% of group fees and </w:t>
      </w:r>
      <w:r w:rsidR="00D803EA" w:rsidRPr="0026705F">
        <w:rPr>
          <w:rFonts w:ascii="Arial" w:hAnsi="Arial" w:cs="Arial"/>
          <w:sz w:val="28"/>
          <w:szCs w:val="28"/>
        </w:rPr>
        <w:t>comprising</w:t>
      </w:r>
      <w:r w:rsidR="006108EB" w:rsidRPr="0026705F">
        <w:rPr>
          <w:rFonts w:ascii="Arial" w:hAnsi="Arial" w:cs="Arial"/>
          <w:sz w:val="28"/>
          <w:szCs w:val="28"/>
        </w:rPr>
        <w:t xml:space="preserve"> 2</w:t>
      </w:r>
      <w:r w:rsidR="00AB2F7A">
        <w:rPr>
          <w:rFonts w:ascii="Arial" w:hAnsi="Arial" w:cs="Arial"/>
          <w:sz w:val="28"/>
          <w:szCs w:val="28"/>
        </w:rPr>
        <w:t>8</w:t>
      </w:r>
      <w:r w:rsidR="006108EB" w:rsidRPr="0026705F">
        <w:rPr>
          <w:rFonts w:ascii="Arial" w:hAnsi="Arial" w:cs="Arial"/>
          <w:sz w:val="28"/>
          <w:szCs w:val="28"/>
        </w:rPr>
        <w:t xml:space="preserve"> countries</w:t>
      </w:r>
      <w:r w:rsidR="00921C56" w:rsidRPr="0026705F">
        <w:rPr>
          <w:rFonts w:ascii="Arial" w:hAnsi="Arial" w:cs="Arial"/>
          <w:sz w:val="28"/>
          <w:szCs w:val="28"/>
        </w:rPr>
        <w:t>,</w:t>
      </w:r>
      <w:r w:rsidR="00572499" w:rsidRPr="0026705F">
        <w:rPr>
          <w:rFonts w:ascii="Arial" w:hAnsi="Arial" w:cs="Arial"/>
          <w:sz w:val="28"/>
          <w:szCs w:val="28"/>
        </w:rPr>
        <w:t xml:space="preserve"> </w:t>
      </w:r>
      <w:r w:rsidR="005B3FED">
        <w:rPr>
          <w:rFonts w:ascii="Arial" w:hAnsi="Arial" w:cs="Arial"/>
          <w:sz w:val="28"/>
          <w:szCs w:val="28"/>
        </w:rPr>
        <w:t xml:space="preserve">fees </w:t>
      </w:r>
      <w:r>
        <w:rPr>
          <w:rFonts w:ascii="Arial" w:hAnsi="Arial" w:cs="Arial"/>
          <w:sz w:val="28"/>
          <w:szCs w:val="28"/>
        </w:rPr>
        <w:t xml:space="preserve">grew by </w:t>
      </w:r>
      <w:r w:rsidR="002F7B29">
        <w:rPr>
          <w:rFonts w:ascii="Arial" w:hAnsi="Arial" w:cs="Arial"/>
          <w:sz w:val="28"/>
          <w:szCs w:val="28"/>
        </w:rPr>
        <w:t>2</w:t>
      </w:r>
      <w:r w:rsidR="00551B0F" w:rsidRPr="0026705F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 xml:space="preserve">, </w:t>
      </w:r>
      <w:r w:rsidRPr="00323C36">
        <w:rPr>
          <w:rFonts w:ascii="Arial" w:hAnsi="Arial" w:cs="Arial"/>
          <w:sz w:val="28"/>
          <w:szCs w:val="28"/>
        </w:rPr>
        <w:t xml:space="preserve">including </w:t>
      </w:r>
      <w:r w:rsidR="00323C36" w:rsidRPr="00323C36">
        <w:rPr>
          <w:rFonts w:ascii="Arial" w:hAnsi="Arial" w:cs="Arial"/>
          <w:sz w:val="28"/>
          <w:szCs w:val="28"/>
        </w:rPr>
        <w:t>6</w:t>
      </w:r>
      <w:r w:rsidR="00B078BD" w:rsidRPr="00323C36">
        <w:rPr>
          <w:rFonts w:ascii="Arial" w:hAnsi="Arial" w:cs="Arial"/>
          <w:sz w:val="28"/>
          <w:szCs w:val="28"/>
        </w:rPr>
        <w:t xml:space="preserve"> countries delivering </w:t>
      </w:r>
      <w:r w:rsidR="00366A71" w:rsidRPr="00323C36">
        <w:rPr>
          <w:rFonts w:ascii="Arial" w:hAnsi="Arial" w:cs="Arial"/>
          <w:sz w:val="28"/>
          <w:szCs w:val="28"/>
        </w:rPr>
        <w:t>quarterly records</w:t>
      </w:r>
      <w:r w:rsidR="00602646" w:rsidRPr="00323C36">
        <w:rPr>
          <w:rFonts w:ascii="Arial" w:hAnsi="Arial" w:cs="Arial"/>
          <w:sz w:val="28"/>
          <w:szCs w:val="28"/>
        </w:rPr>
        <w:t>.</w:t>
      </w:r>
      <w:r w:rsidR="00602646" w:rsidRPr="0026705F">
        <w:rPr>
          <w:rFonts w:ascii="Arial" w:hAnsi="Arial" w:cs="Arial"/>
          <w:sz w:val="28"/>
          <w:szCs w:val="28"/>
        </w:rPr>
        <w:t xml:space="preserve"> </w:t>
      </w:r>
    </w:p>
    <w:p w14:paraId="38030264" w14:textId="31DB211B" w:rsidR="00E46F15" w:rsidRPr="0026705F" w:rsidRDefault="005516E1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6705F">
        <w:rPr>
          <w:rFonts w:ascii="Arial" w:hAnsi="Arial" w:cs="Arial"/>
          <w:sz w:val="28"/>
          <w:szCs w:val="28"/>
        </w:rPr>
        <w:t>Perm</w:t>
      </w:r>
      <w:r w:rsidR="00602646" w:rsidRPr="0026705F">
        <w:rPr>
          <w:rFonts w:ascii="Arial" w:hAnsi="Arial" w:cs="Arial"/>
          <w:sz w:val="28"/>
          <w:szCs w:val="28"/>
        </w:rPr>
        <w:t>, 6</w:t>
      </w:r>
      <w:r w:rsidR="0073046B">
        <w:rPr>
          <w:rFonts w:ascii="Arial" w:hAnsi="Arial" w:cs="Arial"/>
          <w:sz w:val="28"/>
          <w:szCs w:val="28"/>
        </w:rPr>
        <w:t>5</w:t>
      </w:r>
      <w:r w:rsidR="00602646" w:rsidRPr="0026705F">
        <w:rPr>
          <w:rFonts w:ascii="Arial" w:hAnsi="Arial" w:cs="Arial"/>
          <w:sz w:val="28"/>
          <w:szCs w:val="28"/>
        </w:rPr>
        <w:t xml:space="preserve">% of </w:t>
      </w:r>
      <w:proofErr w:type="spellStart"/>
      <w:r w:rsidR="00602646" w:rsidRPr="0026705F">
        <w:rPr>
          <w:rFonts w:ascii="Arial" w:hAnsi="Arial" w:cs="Arial"/>
          <w:sz w:val="28"/>
          <w:szCs w:val="28"/>
        </w:rPr>
        <w:t>RoW</w:t>
      </w:r>
      <w:proofErr w:type="spellEnd"/>
      <w:r w:rsidR="00602646" w:rsidRPr="0026705F">
        <w:rPr>
          <w:rFonts w:ascii="Arial" w:hAnsi="Arial" w:cs="Arial"/>
          <w:sz w:val="28"/>
          <w:szCs w:val="28"/>
        </w:rPr>
        <w:t xml:space="preserve"> fees, </w:t>
      </w:r>
      <w:r w:rsidR="004B779F">
        <w:rPr>
          <w:rFonts w:ascii="Arial" w:hAnsi="Arial" w:cs="Arial"/>
          <w:sz w:val="28"/>
          <w:szCs w:val="28"/>
        </w:rPr>
        <w:t>de</w:t>
      </w:r>
      <w:r w:rsidR="00A00BCA" w:rsidRPr="0026705F">
        <w:rPr>
          <w:rFonts w:ascii="Arial" w:hAnsi="Arial" w:cs="Arial"/>
          <w:sz w:val="28"/>
          <w:szCs w:val="28"/>
        </w:rPr>
        <w:t xml:space="preserve">creased by </w:t>
      </w:r>
      <w:r w:rsidR="004B779F">
        <w:rPr>
          <w:rFonts w:ascii="Arial" w:hAnsi="Arial" w:cs="Arial"/>
          <w:sz w:val="28"/>
          <w:szCs w:val="28"/>
        </w:rPr>
        <w:t>2</w:t>
      </w:r>
      <w:r w:rsidR="00A00BCA" w:rsidRPr="0026705F">
        <w:rPr>
          <w:rFonts w:ascii="Arial" w:hAnsi="Arial" w:cs="Arial"/>
          <w:sz w:val="28"/>
          <w:szCs w:val="28"/>
        </w:rPr>
        <w:t xml:space="preserve">%, with Temp up </w:t>
      </w:r>
      <w:r w:rsidR="00FA599D">
        <w:rPr>
          <w:rFonts w:ascii="Arial" w:hAnsi="Arial" w:cs="Arial"/>
          <w:sz w:val="28"/>
          <w:szCs w:val="28"/>
        </w:rPr>
        <w:t xml:space="preserve">a good </w:t>
      </w:r>
      <w:r w:rsidR="0073046B">
        <w:rPr>
          <w:rFonts w:ascii="Arial" w:hAnsi="Arial" w:cs="Arial"/>
          <w:sz w:val="28"/>
          <w:szCs w:val="28"/>
        </w:rPr>
        <w:t>9</w:t>
      </w:r>
      <w:r w:rsidR="00A00BCA" w:rsidRPr="0026705F">
        <w:rPr>
          <w:rFonts w:ascii="Arial" w:hAnsi="Arial" w:cs="Arial"/>
          <w:sz w:val="28"/>
          <w:szCs w:val="28"/>
        </w:rPr>
        <w:t>%</w:t>
      </w:r>
      <w:r w:rsidR="00E46F15" w:rsidRPr="0026705F">
        <w:rPr>
          <w:rFonts w:ascii="Arial" w:hAnsi="Arial" w:cs="Arial"/>
          <w:sz w:val="28"/>
          <w:szCs w:val="28"/>
        </w:rPr>
        <w:t>.</w:t>
      </w:r>
    </w:p>
    <w:p w14:paraId="2DD0364D" w14:textId="79699D3F" w:rsidR="00777456" w:rsidRPr="0026705F" w:rsidRDefault="00973045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6705F">
        <w:rPr>
          <w:rFonts w:ascii="Arial" w:hAnsi="Arial" w:cs="Arial"/>
          <w:b/>
          <w:sz w:val="28"/>
          <w:szCs w:val="28"/>
        </w:rPr>
        <w:t>EMEA</w:t>
      </w:r>
      <w:r w:rsidR="00572499" w:rsidRPr="0026705F">
        <w:rPr>
          <w:rFonts w:ascii="Arial" w:hAnsi="Arial" w:cs="Arial"/>
          <w:b/>
          <w:sz w:val="28"/>
          <w:szCs w:val="28"/>
        </w:rPr>
        <w:t>-</w:t>
      </w:r>
      <w:r w:rsidR="00551B0F" w:rsidRPr="0026705F">
        <w:rPr>
          <w:rFonts w:ascii="Arial" w:hAnsi="Arial" w:cs="Arial"/>
          <w:b/>
          <w:sz w:val="28"/>
          <w:szCs w:val="28"/>
        </w:rPr>
        <w:t>ex Germany</w:t>
      </w:r>
      <w:r w:rsidR="0029746B">
        <w:rPr>
          <w:rFonts w:ascii="Arial" w:hAnsi="Arial" w:cs="Arial"/>
          <w:bCs/>
          <w:sz w:val="28"/>
          <w:szCs w:val="28"/>
        </w:rPr>
        <w:t xml:space="preserve"> produced record </w:t>
      </w:r>
      <w:r w:rsidR="00DF4C0C" w:rsidRPr="0026705F">
        <w:rPr>
          <w:rFonts w:ascii="Arial" w:hAnsi="Arial" w:cs="Arial"/>
          <w:sz w:val="28"/>
          <w:szCs w:val="28"/>
        </w:rPr>
        <w:t>fees</w:t>
      </w:r>
      <w:r w:rsidR="0029746B">
        <w:rPr>
          <w:rFonts w:ascii="Arial" w:hAnsi="Arial" w:cs="Arial"/>
          <w:sz w:val="28"/>
          <w:szCs w:val="28"/>
        </w:rPr>
        <w:t xml:space="preserve">, up </w:t>
      </w:r>
      <w:r w:rsidR="004B779F">
        <w:rPr>
          <w:rFonts w:ascii="Arial" w:hAnsi="Arial" w:cs="Arial"/>
          <w:sz w:val="28"/>
          <w:szCs w:val="28"/>
        </w:rPr>
        <w:t>1</w:t>
      </w:r>
      <w:r w:rsidR="00220B95">
        <w:rPr>
          <w:rFonts w:ascii="Arial" w:hAnsi="Arial" w:cs="Arial"/>
          <w:sz w:val="28"/>
          <w:szCs w:val="28"/>
        </w:rPr>
        <w:t>1</w:t>
      </w:r>
      <w:r w:rsidR="0010092E" w:rsidRPr="0026705F">
        <w:rPr>
          <w:rFonts w:ascii="Arial" w:hAnsi="Arial" w:cs="Arial"/>
          <w:sz w:val="28"/>
          <w:szCs w:val="28"/>
        </w:rPr>
        <w:t>%</w:t>
      </w:r>
      <w:r w:rsidR="00B83270">
        <w:rPr>
          <w:rFonts w:ascii="Arial" w:hAnsi="Arial" w:cs="Arial"/>
          <w:sz w:val="28"/>
          <w:szCs w:val="28"/>
        </w:rPr>
        <w:t xml:space="preserve"> or </w:t>
      </w:r>
      <w:r w:rsidR="00DD0467">
        <w:rPr>
          <w:rFonts w:ascii="Arial" w:hAnsi="Arial" w:cs="Arial"/>
          <w:sz w:val="28"/>
          <w:szCs w:val="28"/>
        </w:rPr>
        <w:t>1</w:t>
      </w:r>
      <w:r w:rsidR="0073046B">
        <w:rPr>
          <w:rFonts w:ascii="Arial" w:hAnsi="Arial" w:cs="Arial"/>
          <w:sz w:val="28"/>
          <w:szCs w:val="28"/>
        </w:rPr>
        <w:t>3</w:t>
      </w:r>
      <w:r w:rsidR="00B83270">
        <w:rPr>
          <w:rFonts w:ascii="Arial" w:hAnsi="Arial" w:cs="Arial"/>
          <w:sz w:val="28"/>
          <w:szCs w:val="28"/>
        </w:rPr>
        <w:t>% ex</w:t>
      </w:r>
      <w:r w:rsidR="00B9742E">
        <w:rPr>
          <w:rFonts w:ascii="Arial" w:hAnsi="Arial" w:cs="Arial"/>
          <w:sz w:val="28"/>
          <w:szCs w:val="28"/>
        </w:rPr>
        <w:t>cluding</w:t>
      </w:r>
      <w:r w:rsidR="00B83270">
        <w:rPr>
          <w:rFonts w:ascii="Arial" w:hAnsi="Arial" w:cs="Arial"/>
          <w:sz w:val="28"/>
          <w:szCs w:val="28"/>
        </w:rPr>
        <w:t xml:space="preserve"> </w:t>
      </w:r>
      <w:r w:rsidR="001C2CE5">
        <w:rPr>
          <w:rFonts w:ascii="Arial" w:hAnsi="Arial" w:cs="Arial"/>
          <w:sz w:val="28"/>
          <w:szCs w:val="28"/>
        </w:rPr>
        <w:t>the impact of our Russia closure a year ago</w:t>
      </w:r>
      <w:r w:rsidR="00B83270">
        <w:rPr>
          <w:rFonts w:ascii="Arial" w:hAnsi="Arial" w:cs="Arial"/>
          <w:sz w:val="28"/>
          <w:szCs w:val="28"/>
        </w:rPr>
        <w:t xml:space="preserve">, with </w:t>
      </w:r>
      <w:r w:rsidR="00660007">
        <w:rPr>
          <w:rFonts w:ascii="Arial" w:hAnsi="Arial" w:cs="Arial"/>
          <w:sz w:val="28"/>
          <w:szCs w:val="28"/>
        </w:rPr>
        <w:t>broad-based growth</w:t>
      </w:r>
      <w:r w:rsidR="00B9742E">
        <w:rPr>
          <w:rFonts w:ascii="Arial" w:hAnsi="Arial" w:cs="Arial"/>
          <w:sz w:val="28"/>
          <w:szCs w:val="28"/>
        </w:rPr>
        <w:t xml:space="preserve"> across the region</w:t>
      </w:r>
      <w:r w:rsidR="006E09E2">
        <w:rPr>
          <w:rFonts w:ascii="Arial" w:hAnsi="Arial" w:cs="Arial"/>
          <w:sz w:val="28"/>
          <w:szCs w:val="28"/>
        </w:rPr>
        <w:t>.</w:t>
      </w:r>
      <w:r w:rsidR="00DE5CAC" w:rsidRPr="0026705F">
        <w:rPr>
          <w:rFonts w:ascii="Arial" w:hAnsi="Arial" w:cs="Arial"/>
          <w:sz w:val="28"/>
          <w:szCs w:val="28"/>
        </w:rPr>
        <w:t xml:space="preserve"> </w:t>
      </w:r>
      <w:r w:rsidR="00DB0497" w:rsidRPr="00DB0497">
        <w:rPr>
          <w:rFonts w:ascii="Arial" w:hAnsi="Arial" w:cs="Arial"/>
          <w:sz w:val="28"/>
          <w:szCs w:val="28"/>
        </w:rPr>
        <w:t xml:space="preserve">France, our largest </w:t>
      </w:r>
      <w:proofErr w:type="spellStart"/>
      <w:r w:rsidR="00DB0497" w:rsidRPr="00DB0497">
        <w:rPr>
          <w:rFonts w:ascii="Arial" w:hAnsi="Arial" w:cs="Arial"/>
          <w:sz w:val="28"/>
          <w:szCs w:val="28"/>
        </w:rPr>
        <w:t>RoW</w:t>
      </w:r>
      <w:proofErr w:type="spellEnd"/>
      <w:r w:rsidR="00DB0497" w:rsidRPr="00DB0497">
        <w:rPr>
          <w:rFonts w:ascii="Arial" w:hAnsi="Arial" w:cs="Arial"/>
          <w:sz w:val="28"/>
          <w:szCs w:val="28"/>
        </w:rPr>
        <w:t xml:space="preserve"> country, grew by 15%, with Switzerland up 16%, both delivering record performances. Belgium increased by 15%, with Poland up 1</w:t>
      </w:r>
      <w:r w:rsidR="00220B95">
        <w:rPr>
          <w:rFonts w:ascii="Arial" w:hAnsi="Arial" w:cs="Arial"/>
          <w:sz w:val="28"/>
          <w:szCs w:val="28"/>
        </w:rPr>
        <w:t>4</w:t>
      </w:r>
      <w:r w:rsidR="00DB0497" w:rsidRPr="00DB0497">
        <w:rPr>
          <w:rFonts w:ascii="Arial" w:hAnsi="Arial" w:cs="Arial"/>
          <w:sz w:val="28"/>
          <w:szCs w:val="28"/>
        </w:rPr>
        <w:t>%. The UAE was a standout performer, up 5</w:t>
      </w:r>
      <w:r w:rsidR="00220B95">
        <w:rPr>
          <w:rFonts w:ascii="Arial" w:hAnsi="Arial" w:cs="Arial"/>
          <w:sz w:val="28"/>
          <w:szCs w:val="28"/>
        </w:rPr>
        <w:t>8</w:t>
      </w:r>
      <w:r w:rsidR="00DB0497" w:rsidRPr="00DB0497">
        <w:rPr>
          <w:rFonts w:ascii="Arial" w:hAnsi="Arial" w:cs="Arial"/>
          <w:sz w:val="28"/>
          <w:szCs w:val="28"/>
        </w:rPr>
        <w:t>%</w:t>
      </w:r>
      <w:r w:rsidR="0029746B" w:rsidRPr="00DB0497">
        <w:rPr>
          <w:rFonts w:ascii="Arial" w:hAnsi="Arial" w:cs="Arial"/>
          <w:sz w:val="28"/>
          <w:szCs w:val="28"/>
        </w:rPr>
        <w:t>.</w:t>
      </w:r>
    </w:p>
    <w:p w14:paraId="27BFE8B6" w14:textId="2B2E9681" w:rsidR="00884BBE" w:rsidRPr="0026705F" w:rsidRDefault="00973045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6705F">
        <w:rPr>
          <w:rFonts w:ascii="Arial" w:hAnsi="Arial" w:cs="Arial"/>
          <w:b/>
          <w:sz w:val="28"/>
          <w:szCs w:val="28"/>
        </w:rPr>
        <w:t>T</w:t>
      </w:r>
      <w:r w:rsidR="00884BBE" w:rsidRPr="0026705F">
        <w:rPr>
          <w:rFonts w:ascii="Arial" w:hAnsi="Arial" w:cs="Arial"/>
          <w:b/>
          <w:sz w:val="28"/>
          <w:szCs w:val="28"/>
        </w:rPr>
        <w:t>he Americas</w:t>
      </w:r>
      <w:r w:rsidRPr="0026705F">
        <w:rPr>
          <w:rFonts w:ascii="Arial" w:hAnsi="Arial" w:cs="Arial"/>
          <w:sz w:val="28"/>
          <w:szCs w:val="28"/>
        </w:rPr>
        <w:t xml:space="preserve"> </w:t>
      </w:r>
      <w:r w:rsidR="00B54EBF">
        <w:rPr>
          <w:rFonts w:ascii="Arial" w:hAnsi="Arial" w:cs="Arial"/>
          <w:sz w:val="28"/>
          <w:szCs w:val="28"/>
        </w:rPr>
        <w:t>contracted</w:t>
      </w:r>
      <w:r w:rsidR="00E15197" w:rsidRPr="0026705F">
        <w:rPr>
          <w:rFonts w:ascii="Arial" w:hAnsi="Arial" w:cs="Arial"/>
          <w:sz w:val="28"/>
          <w:szCs w:val="28"/>
        </w:rPr>
        <w:t xml:space="preserve"> by</w:t>
      </w:r>
      <w:r w:rsidR="0010092E" w:rsidRPr="0026705F">
        <w:rPr>
          <w:rFonts w:ascii="Arial" w:hAnsi="Arial" w:cs="Arial"/>
          <w:sz w:val="28"/>
          <w:szCs w:val="28"/>
        </w:rPr>
        <w:t xml:space="preserve"> </w:t>
      </w:r>
      <w:r w:rsidR="00AB2F7A">
        <w:rPr>
          <w:rFonts w:ascii="Arial" w:hAnsi="Arial" w:cs="Arial"/>
          <w:sz w:val="28"/>
          <w:szCs w:val="28"/>
        </w:rPr>
        <w:t>1</w:t>
      </w:r>
      <w:r w:rsidR="00220B95">
        <w:rPr>
          <w:rFonts w:ascii="Arial" w:hAnsi="Arial" w:cs="Arial"/>
          <w:sz w:val="28"/>
          <w:szCs w:val="28"/>
        </w:rPr>
        <w:t>5</w:t>
      </w:r>
      <w:r w:rsidR="0010092E" w:rsidRPr="0017514D">
        <w:rPr>
          <w:rFonts w:ascii="Arial" w:hAnsi="Arial" w:cs="Arial"/>
          <w:sz w:val="28"/>
          <w:szCs w:val="28"/>
        </w:rPr>
        <w:t>%</w:t>
      </w:r>
      <w:r w:rsidR="00433ACC" w:rsidRPr="0017514D">
        <w:rPr>
          <w:rFonts w:ascii="Arial" w:hAnsi="Arial" w:cs="Arial"/>
          <w:sz w:val="28"/>
          <w:szCs w:val="28"/>
        </w:rPr>
        <w:t>,</w:t>
      </w:r>
      <w:r w:rsidR="00B54EBF">
        <w:rPr>
          <w:rFonts w:ascii="Arial" w:hAnsi="Arial" w:cs="Arial"/>
          <w:sz w:val="28"/>
          <w:szCs w:val="28"/>
        </w:rPr>
        <w:t xml:space="preserve"> with activity slowing through the quarter, particularly in perm</w:t>
      </w:r>
      <w:r w:rsidR="00DB0497">
        <w:rPr>
          <w:rFonts w:ascii="Arial" w:hAnsi="Arial" w:cs="Arial"/>
          <w:sz w:val="28"/>
          <w:szCs w:val="28"/>
        </w:rPr>
        <w:t xml:space="preserve">. </w:t>
      </w:r>
      <w:r w:rsidR="00220B95">
        <w:rPr>
          <w:rFonts w:ascii="Arial" w:hAnsi="Arial" w:cs="Arial"/>
          <w:sz w:val="28"/>
          <w:szCs w:val="28"/>
        </w:rPr>
        <w:t>G</w:t>
      </w:r>
      <w:r w:rsidR="00163ACA">
        <w:rPr>
          <w:rFonts w:ascii="Arial" w:hAnsi="Arial" w:cs="Arial"/>
          <w:sz w:val="28"/>
          <w:szCs w:val="28"/>
        </w:rPr>
        <w:t xml:space="preserve">rowth of </w:t>
      </w:r>
      <w:r w:rsidR="00220B95">
        <w:rPr>
          <w:rFonts w:ascii="Arial" w:hAnsi="Arial" w:cs="Arial"/>
          <w:sz w:val="28"/>
          <w:szCs w:val="28"/>
        </w:rPr>
        <w:t>3</w:t>
      </w:r>
      <w:r w:rsidR="00163ACA">
        <w:rPr>
          <w:rFonts w:ascii="Arial" w:hAnsi="Arial" w:cs="Arial"/>
          <w:sz w:val="28"/>
          <w:szCs w:val="28"/>
        </w:rPr>
        <w:t xml:space="preserve">% in </w:t>
      </w:r>
      <w:proofErr w:type="spellStart"/>
      <w:r w:rsidR="00163ACA" w:rsidRPr="00F0709A">
        <w:rPr>
          <w:rFonts w:ascii="Arial" w:hAnsi="Arial" w:cs="Arial"/>
          <w:sz w:val="28"/>
          <w:szCs w:val="28"/>
        </w:rPr>
        <w:t>Lat</w:t>
      </w:r>
      <w:r w:rsidR="00DB0497">
        <w:rPr>
          <w:rFonts w:ascii="Arial" w:hAnsi="Arial" w:cs="Arial"/>
          <w:sz w:val="28"/>
          <w:szCs w:val="28"/>
        </w:rPr>
        <w:t>a</w:t>
      </w:r>
      <w:r w:rsidR="00163ACA" w:rsidRPr="00F0709A">
        <w:rPr>
          <w:rFonts w:ascii="Arial" w:hAnsi="Arial" w:cs="Arial"/>
          <w:sz w:val="28"/>
          <w:szCs w:val="28"/>
        </w:rPr>
        <w:t>m</w:t>
      </w:r>
      <w:proofErr w:type="spellEnd"/>
      <w:r w:rsidR="00433ACC" w:rsidRPr="00F0709A">
        <w:rPr>
          <w:rFonts w:ascii="Arial" w:hAnsi="Arial" w:cs="Arial"/>
          <w:sz w:val="28"/>
          <w:szCs w:val="28"/>
        </w:rPr>
        <w:t xml:space="preserve"> </w:t>
      </w:r>
      <w:r w:rsidR="00DB0497">
        <w:rPr>
          <w:rFonts w:ascii="Arial" w:hAnsi="Arial" w:cs="Arial"/>
          <w:sz w:val="28"/>
          <w:szCs w:val="28"/>
        </w:rPr>
        <w:t xml:space="preserve">was </w:t>
      </w:r>
      <w:r w:rsidR="00FA599D">
        <w:rPr>
          <w:rFonts w:ascii="Arial" w:hAnsi="Arial" w:cs="Arial"/>
          <w:sz w:val="28"/>
          <w:szCs w:val="28"/>
        </w:rPr>
        <w:t>offset by</w:t>
      </w:r>
      <w:r w:rsidR="00B54EBF">
        <w:rPr>
          <w:rFonts w:ascii="Arial" w:hAnsi="Arial" w:cs="Arial"/>
          <w:sz w:val="28"/>
          <w:szCs w:val="28"/>
        </w:rPr>
        <w:t xml:space="preserve"> </w:t>
      </w:r>
      <w:r w:rsidR="00323C36">
        <w:rPr>
          <w:rFonts w:ascii="Arial" w:hAnsi="Arial" w:cs="Arial"/>
          <w:sz w:val="28"/>
          <w:szCs w:val="28"/>
        </w:rPr>
        <w:t>challenging</w:t>
      </w:r>
      <w:r w:rsidR="00B54EBF">
        <w:rPr>
          <w:rFonts w:ascii="Arial" w:hAnsi="Arial" w:cs="Arial"/>
          <w:sz w:val="28"/>
          <w:szCs w:val="28"/>
        </w:rPr>
        <w:t xml:space="preserve"> conditions in Canada and USA</w:t>
      </w:r>
      <w:r w:rsidR="00DB0497">
        <w:rPr>
          <w:rFonts w:ascii="Arial" w:hAnsi="Arial" w:cs="Arial"/>
          <w:sz w:val="28"/>
          <w:szCs w:val="28"/>
        </w:rPr>
        <w:t xml:space="preserve">, </w:t>
      </w:r>
      <w:r w:rsidR="00B54EBF">
        <w:rPr>
          <w:rFonts w:ascii="Arial" w:hAnsi="Arial" w:cs="Arial"/>
          <w:sz w:val="28"/>
          <w:szCs w:val="28"/>
        </w:rPr>
        <w:t xml:space="preserve">down </w:t>
      </w:r>
      <w:r w:rsidR="00220B95">
        <w:rPr>
          <w:rFonts w:ascii="Arial" w:hAnsi="Arial" w:cs="Arial"/>
          <w:sz w:val="28"/>
          <w:szCs w:val="28"/>
        </w:rPr>
        <w:t>6</w:t>
      </w:r>
      <w:r w:rsidR="00B54EBF">
        <w:rPr>
          <w:rFonts w:ascii="Arial" w:hAnsi="Arial" w:cs="Arial"/>
          <w:sz w:val="28"/>
          <w:szCs w:val="28"/>
        </w:rPr>
        <w:t xml:space="preserve">% and 23% respectively. </w:t>
      </w:r>
    </w:p>
    <w:p w14:paraId="084F6590" w14:textId="297158CF" w:rsidR="00685253" w:rsidRPr="0026705F" w:rsidRDefault="00765E41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 w:rsidRPr="0026705F">
        <w:rPr>
          <w:rFonts w:ascii="Arial" w:hAnsi="Arial" w:cs="Arial"/>
          <w:b/>
          <w:sz w:val="28"/>
          <w:szCs w:val="28"/>
        </w:rPr>
        <w:t>Asia</w:t>
      </w:r>
      <w:r w:rsidR="00BC7290" w:rsidRPr="0026705F">
        <w:rPr>
          <w:rFonts w:ascii="Arial" w:hAnsi="Arial" w:cs="Arial"/>
          <w:sz w:val="28"/>
          <w:szCs w:val="28"/>
        </w:rPr>
        <w:t xml:space="preserve"> </w:t>
      </w:r>
      <w:r w:rsidR="00E02D68">
        <w:rPr>
          <w:rFonts w:ascii="Arial" w:hAnsi="Arial" w:cs="Arial"/>
          <w:sz w:val="28"/>
          <w:szCs w:val="28"/>
        </w:rPr>
        <w:t>declined</w:t>
      </w:r>
      <w:r w:rsidR="00B83270">
        <w:rPr>
          <w:rFonts w:ascii="Arial" w:hAnsi="Arial" w:cs="Arial"/>
          <w:sz w:val="28"/>
          <w:szCs w:val="28"/>
        </w:rPr>
        <w:t xml:space="preserve"> by </w:t>
      </w:r>
      <w:r w:rsidR="00B54EBF">
        <w:rPr>
          <w:rFonts w:ascii="Arial" w:hAnsi="Arial" w:cs="Arial"/>
          <w:sz w:val="28"/>
          <w:szCs w:val="28"/>
        </w:rPr>
        <w:t>4</w:t>
      </w:r>
      <w:r w:rsidR="00220B95">
        <w:rPr>
          <w:rFonts w:ascii="Arial" w:hAnsi="Arial" w:cs="Arial"/>
          <w:sz w:val="28"/>
          <w:szCs w:val="28"/>
        </w:rPr>
        <w:t>%.</w:t>
      </w:r>
      <w:r w:rsidR="00532774" w:rsidRPr="0074475B">
        <w:rPr>
          <w:rFonts w:ascii="Arial" w:hAnsi="Arial" w:cs="Arial"/>
          <w:sz w:val="28"/>
          <w:szCs w:val="28"/>
        </w:rPr>
        <w:t xml:space="preserve"> </w:t>
      </w:r>
      <w:r w:rsidR="00B54EBF">
        <w:rPr>
          <w:rFonts w:ascii="Arial" w:hAnsi="Arial" w:cs="Arial"/>
          <w:sz w:val="28"/>
          <w:szCs w:val="28"/>
        </w:rPr>
        <w:t>Japan grew by</w:t>
      </w:r>
      <w:r w:rsidR="00133B81">
        <w:rPr>
          <w:rFonts w:ascii="Arial" w:hAnsi="Arial" w:cs="Arial"/>
          <w:sz w:val="28"/>
          <w:szCs w:val="28"/>
        </w:rPr>
        <w:t xml:space="preserve"> </w:t>
      </w:r>
      <w:r w:rsidR="00B54EBF">
        <w:rPr>
          <w:rFonts w:ascii="Arial" w:hAnsi="Arial" w:cs="Arial"/>
          <w:sz w:val="28"/>
          <w:szCs w:val="28"/>
        </w:rPr>
        <w:t>4</w:t>
      </w:r>
      <w:r w:rsidR="00133B81">
        <w:rPr>
          <w:rFonts w:ascii="Arial" w:hAnsi="Arial" w:cs="Arial"/>
          <w:sz w:val="28"/>
          <w:szCs w:val="28"/>
        </w:rPr>
        <w:t xml:space="preserve">%, </w:t>
      </w:r>
      <w:r w:rsidR="00F75C3C">
        <w:rPr>
          <w:rFonts w:ascii="Arial" w:hAnsi="Arial" w:cs="Arial"/>
          <w:sz w:val="28"/>
          <w:szCs w:val="28"/>
        </w:rPr>
        <w:t xml:space="preserve">and </w:t>
      </w:r>
      <w:r w:rsidR="00532774" w:rsidRPr="00F0709A">
        <w:rPr>
          <w:rFonts w:ascii="Arial" w:hAnsi="Arial" w:cs="Arial"/>
          <w:sz w:val="28"/>
          <w:szCs w:val="28"/>
        </w:rPr>
        <w:t xml:space="preserve">Malaysia </w:t>
      </w:r>
      <w:r w:rsidR="00F75C3C">
        <w:rPr>
          <w:rFonts w:ascii="Arial" w:hAnsi="Arial" w:cs="Arial"/>
          <w:sz w:val="28"/>
          <w:szCs w:val="28"/>
        </w:rPr>
        <w:t xml:space="preserve">was </w:t>
      </w:r>
      <w:r w:rsidR="00532774" w:rsidRPr="00F0709A">
        <w:rPr>
          <w:rFonts w:ascii="Arial" w:hAnsi="Arial" w:cs="Arial"/>
          <w:sz w:val="28"/>
          <w:szCs w:val="28"/>
        </w:rPr>
        <w:t xml:space="preserve">up </w:t>
      </w:r>
      <w:r w:rsidR="00B54EBF">
        <w:rPr>
          <w:rFonts w:ascii="Arial" w:hAnsi="Arial" w:cs="Arial"/>
          <w:sz w:val="28"/>
          <w:szCs w:val="28"/>
        </w:rPr>
        <w:t>an excellent 30</w:t>
      </w:r>
      <w:r w:rsidR="00532774" w:rsidRPr="00F0709A">
        <w:rPr>
          <w:rFonts w:ascii="Arial" w:hAnsi="Arial" w:cs="Arial"/>
          <w:sz w:val="28"/>
          <w:szCs w:val="28"/>
        </w:rPr>
        <w:t>%</w:t>
      </w:r>
      <w:r w:rsidR="00133B81" w:rsidRPr="00F0709A">
        <w:rPr>
          <w:rFonts w:ascii="Arial" w:hAnsi="Arial" w:cs="Arial"/>
          <w:sz w:val="28"/>
          <w:szCs w:val="28"/>
        </w:rPr>
        <w:t>.</w:t>
      </w:r>
      <w:r w:rsidR="00532774" w:rsidRPr="00F0709A">
        <w:rPr>
          <w:rFonts w:ascii="Arial" w:hAnsi="Arial" w:cs="Arial"/>
          <w:sz w:val="28"/>
          <w:szCs w:val="28"/>
        </w:rPr>
        <w:t xml:space="preserve"> </w:t>
      </w:r>
      <w:r w:rsidR="00126656" w:rsidRPr="00F0709A">
        <w:rPr>
          <w:rFonts w:ascii="Arial" w:hAnsi="Arial" w:cs="Arial"/>
          <w:sz w:val="28"/>
          <w:szCs w:val="28"/>
        </w:rPr>
        <w:t>China</w:t>
      </w:r>
      <w:r w:rsidR="00401904" w:rsidRPr="00F0709A">
        <w:rPr>
          <w:rFonts w:ascii="Arial" w:hAnsi="Arial" w:cs="Arial"/>
          <w:sz w:val="28"/>
          <w:szCs w:val="28"/>
        </w:rPr>
        <w:t xml:space="preserve"> </w:t>
      </w:r>
      <w:r w:rsidR="00133B81" w:rsidRPr="00F0709A">
        <w:rPr>
          <w:rFonts w:ascii="Arial" w:hAnsi="Arial" w:cs="Arial"/>
          <w:sz w:val="28"/>
          <w:szCs w:val="28"/>
        </w:rPr>
        <w:t>decreased</w:t>
      </w:r>
      <w:r w:rsidR="00126656" w:rsidRPr="00F0709A">
        <w:rPr>
          <w:rFonts w:ascii="Arial" w:hAnsi="Arial" w:cs="Arial"/>
          <w:sz w:val="28"/>
          <w:szCs w:val="28"/>
        </w:rPr>
        <w:t xml:space="preserve"> by </w:t>
      </w:r>
      <w:r w:rsidR="00E02D68" w:rsidRPr="00F0709A">
        <w:rPr>
          <w:rFonts w:ascii="Arial" w:hAnsi="Arial" w:cs="Arial"/>
          <w:sz w:val="28"/>
          <w:szCs w:val="28"/>
        </w:rPr>
        <w:t>2</w:t>
      </w:r>
      <w:r w:rsidR="00B54EBF">
        <w:rPr>
          <w:rFonts w:ascii="Arial" w:hAnsi="Arial" w:cs="Arial"/>
          <w:sz w:val="28"/>
          <w:szCs w:val="28"/>
        </w:rPr>
        <w:t>6</w:t>
      </w:r>
      <w:r w:rsidR="00126656" w:rsidRPr="00F0709A">
        <w:rPr>
          <w:rFonts w:ascii="Arial" w:hAnsi="Arial" w:cs="Arial"/>
          <w:sz w:val="28"/>
          <w:szCs w:val="28"/>
        </w:rPr>
        <w:t>%</w:t>
      </w:r>
      <w:r w:rsidR="00133B81" w:rsidRPr="00F0709A">
        <w:rPr>
          <w:rFonts w:ascii="Arial" w:hAnsi="Arial" w:cs="Arial"/>
          <w:sz w:val="28"/>
          <w:szCs w:val="28"/>
        </w:rPr>
        <w:t xml:space="preserve">, </w:t>
      </w:r>
      <w:r w:rsidR="00B83270" w:rsidRPr="00F0709A">
        <w:rPr>
          <w:rFonts w:ascii="Arial" w:hAnsi="Arial" w:cs="Arial"/>
          <w:sz w:val="28"/>
          <w:szCs w:val="28"/>
        </w:rPr>
        <w:t xml:space="preserve">although Hong Kong </w:t>
      </w:r>
      <w:r w:rsidR="002F7B29">
        <w:rPr>
          <w:rFonts w:ascii="Arial" w:hAnsi="Arial" w:cs="Arial"/>
          <w:sz w:val="28"/>
          <w:szCs w:val="28"/>
        </w:rPr>
        <w:t xml:space="preserve">was up slightly, </w:t>
      </w:r>
      <w:r w:rsidR="00B83270" w:rsidRPr="00F0709A">
        <w:rPr>
          <w:rFonts w:ascii="Arial" w:hAnsi="Arial" w:cs="Arial"/>
          <w:sz w:val="28"/>
          <w:szCs w:val="28"/>
        </w:rPr>
        <w:t>significantly outperform</w:t>
      </w:r>
      <w:r w:rsidR="002F7B29">
        <w:rPr>
          <w:rFonts w:ascii="Arial" w:hAnsi="Arial" w:cs="Arial"/>
          <w:sz w:val="28"/>
          <w:szCs w:val="28"/>
        </w:rPr>
        <w:t>ing</w:t>
      </w:r>
      <w:r w:rsidR="00B83270" w:rsidRPr="00F0709A">
        <w:rPr>
          <w:rFonts w:ascii="Arial" w:hAnsi="Arial" w:cs="Arial"/>
          <w:sz w:val="28"/>
          <w:szCs w:val="28"/>
        </w:rPr>
        <w:t xml:space="preserve"> Mainland China where </w:t>
      </w:r>
      <w:r w:rsidR="0029746B">
        <w:rPr>
          <w:rFonts w:ascii="Arial" w:hAnsi="Arial" w:cs="Arial"/>
          <w:sz w:val="28"/>
          <w:szCs w:val="28"/>
        </w:rPr>
        <w:t xml:space="preserve">the </w:t>
      </w:r>
      <w:r w:rsidR="00133B81" w:rsidRPr="00F0709A">
        <w:rPr>
          <w:rFonts w:ascii="Arial" w:hAnsi="Arial" w:cs="Arial"/>
          <w:sz w:val="28"/>
          <w:szCs w:val="28"/>
        </w:rPr>
        <w:t>pandemic</w:t>
      </w:r>
      <w:r w:rsidR="0029746B">
        <w:rPr>
          <w:rFonts w:ascii="Arial" w:hAnsi="Arial" w:cs="Arial"/>
          <w:sz w:val="28"/>
          <w:szCs w:val="28"/>
        </w:rPr>
        <w:t xml:space="preserve"> continue</w:t>
      </w:r>
      <w:r w:rsidR="0073046B">
        <w:rPr>
          <w:rFonts w:ascii="Arial" w:hAnsi="Arial" w:cs="Arial"/>
          <w:sz w:val="28"/>
          <w:szCs w:val="28"/>
        </w:rPr>
        <w:t>d</w:t>
      </w:r>
      <w:r w:rsidR="0029746B">
        <w:rPr>
          <w:rFonts w:ascii="Arial" w:hAnsi="Arial" w:cs="Arial"/>
          <w:sz w:val="28"/>
          <w:szCs w:val="28"/>
        </w:rPr>
        <w:t xml:space="preserve"> to impact </w:t>
      </w:r>
      <w:r w:rsidR="00B83270" w:rsidRPr="00F0709A">
        <w:rPr>
          <w:rFonts w:ascii="Arial" w:hAnsi="Arial" w:cs="Arial"/>
          <w:sz w:val="28"/>
          <w:szCs w:val="28"/>
        </w:rPr>
        <w:t>performance</w:t>
      </w:r>
      <w:r w:rsidR="00B83270">
        <w:rPr>
          <w:rFonts w:ascii="Arial" w:hAnsi="Arial" w:cs="Arial"/>
          <w:sz w:val="28"/>
          <w:szCs w:val="28"/>
        </w:rPr>
        <w:t>.</w:t>
      </w:r>
      <w:r w:rsidR="00FA599D">
        <w:rPr>
          <w:rFonts w:ascii="Arial" w:hAnsi="Arial" w:cs="Arial"/>
          <w:sz w:val="28"/>
          <w:szCs w:val="28"/>
        </w:rPr>
        <w:t xml:space="preserve"> E</w:t>
      </w:r>
      <w:r w:rsidR="009B2226">
        <w:rPr>
          <w:rFonts w:ascii="Arial" w:hAnsi="Arial" w:cs="Arial"/>
          <w:sz w:val="28"/>
          <w:szCs w:val="28"/>
        </w:rPr>
        <w:t xml:space="preserve">xcluding China, our Asia business grew by </w:t>
      </w:r>
      <w:r w:rsidR="00B54EBF">
        <w:rPr>
          <w:rFonts w:ascii="Arial" w:hAnsi="Arial" w:cs="Arial"/>
          <w:sz w:val="28"/>
          <w:szCs w:val="28"/>
        </w:rPr>
        <w:t>11</w:t>
      </w:r>
      <w:r w:rsidR="009B2226">
        <w:rPr>
          <w:rFonts w:ascii="Arial" w:hAnsi="Arial" w:cs="Arial"/>
          <w:sz w:val="28"/>
          <w:szCs w:val="28"/>
        </w:rPr>
        <w:t>%.</w:t>
      </w:r>
    </w:p>
    <w:p w14:paraId="68F7F7D0" w14:textId="73FE82FA" w:rsidR="00A979D7" w:rsidRPr="0068402A" w:rsidRDefault="00643B17" w:rsidP="00A2685D">
      <w:pPr>
        <w:spacing w:before="100" w:beforeAutospacing="1" w:after="120" w:line="360" w:lineRule="auto"/>
        <w:ind w:right="6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Overall </w:t>
      </w:r>
      <w:proofErr w:type="spellStart"/>
      <w:r>
        <w:rPr>
          <w:rFonts w:ascii="Arial" w:hAnsi="Arial" w:cs="Arial"/>
          <w:sz w:val="28"/>
          <w:szCs w:val="28"/>
        </w:rPr>
        <w:t>RoW</w:t>
      </w:r>
      <w:proofErr w:type="spellEnd"/>
      <w:r>
        <w:rPr>
          <w:rFonts w:ascii="Arial" w:hAnsi="Arial" w:cs="Arial"/>
          <w:sz w:val="28"/>
          <w:szCs w:val="28"/>
        </w:rPr>
        <w:t xml:space="preserve"> c</w:t>
      </w:r>
      <w:r w:rsidR="00A979D7" w:rsidRPr="0026705F">
        <w:rPr>
          <w:rFonts w:ascii="Arial" w:hAnsi="Arial" w:cs="Arial"/>
          <w:sz w:val="28"/>
          <w:szCs w:val="28"/>
        </w:rPr>
        <w:t>onsultant h</w:t>
      </w:r>
      <w:r w:rsidR="009809EB" w:rsidRPr="0026705F">
        <w:rPr>
          <w:rFonts w:ascii="Arial" w:hAnsi="Arial" w:cs="Arial"/>
          <w:sz w:val="28"/>
          <w:szCs w:val="28"/>
        </w:rPr>
        <w:t>ead</w:t>
      </w:r>
      <w:r w:rsidR="000F0B50" w:rsidRPr="0026705F">
        <w:rPr>
          <w:rFonts w:ascii="Arial" w:hAnsi="Arial" w:cs="Arial"/>
          <w:sz w:val="28"/>
          <w:szCs w:val="28"/>
        </w:rPr>
        <w:t xml:space="preserve">count </w:t>
      </w:r>
      <w:r w:rsidR="00CA57CF" w:rsidRPr="0026705F">
        <w:rPr>
          <w:rFonts w:ascii="Arial" w:hAnsi="Arial" w:cs="Arial"/>
          <w:sz w:val="28"/>
          <w:szCs w:val="28"/>
        </w:rPr>
        <w:t xml:space="preserve">was </w:t>
      </w:r>
      <w:r w:rsidR="00E02D68">
        <w:rPr>
          <w:rFonts w:ascii="Arial" w:hAnsi="Arial" w:cs="Arial"/>
          <w:sz w:val="28"/>
          <w:szCs w:val="28"/>
        </w:rPr>
        <w:t xml:space="preserve">down </w:t>
      </w:r>
      <w:r w:rsidR="00B54EBF">
        <w:rPr>
          <w:rFonts w:ascii="Arial" w:hAnsi="Arial" w:cs="Arial"/>
          <w:sz w:val="28"/>
          <w:szCs w:val="28"/>
        </w:rPr>
        <w:t>2</w:t>
      </w:r>
      <w:r w:rsidR="002E6039" w:rsidRPr="0026705F">
        <w:rPr>
          <w:rFonts w:ascii="Arial" w:hAnsi="Arial" w:cs="Arial"/>
          <w:sz w:val="28"/>
          <w:szCs w:val="28"/>
        </w:rPr>
        <w:t>%</w:t>
      </w:r>
      <w:r w:rsidR="005E5283" w:rsidRPr="0026705F">
        <w:rPr>
          <w:rFonts w:ascii="Arial" w:hAnsi="Arial" w:cs="Arial"/>
          <w:sz w:val="28"/>
          <w:szCs w:val="28"/>
        </w:rPr>
        <w:t xml:space="preserve"> in the quarter </w:t>
      </w:r>
      <w:r w:rsidR="008813CD" w:rsidRPr="0026705F">
        <w:rPr>
          <w:rFonts w:ascii="Arial" w:hAnsi="Arial" w:cs="Arial"/>
          <w:sz w:val="28"/>
          <w:szCs w:val="28"/>
        </w:rPr>
        <w:t>and</w:t>
      </w:r>
      <w:r w:rsidR="005E5283" w:rsidRPr="0026705F">
        <w:rPr>
          <w:rFonts w:ascii="Arial" w:hAnsi="Arial" w:cs="Arial"/>
          <w:sz w:val="28"/>
          <w:szCs w:val="28"/>
        </w:rPr>
        <w:t xml:space="preserve"> </w:t>
      </w:r>
      <w:r w:rsidR="00E02D68">
        <w:rPr>
          <w:rFonts w:ascii="Arial" w:hAnsi="Arial" w:cs="Arial"/>
          <w:sz w:val="28"/>
          <w:szCs w:val="28"/>
        </w:rPr>
        <w:t xml:space="preserve">up </w:t>
      </w:r>
      <w:r w:rsidR="00B54EBF">
        <w:rPr>
          <w:rFonts w:ascii="Arial" w:hAnsi="Arial" w:cs="Arial"/>
          <w:sz w:val="28"/>
          <w:szCs w:val="28"/>
        </w:rPr>
        <w:t>6</w:t>
      </w:r>
      <w:r w:rsidR="005E5283" w:rsidRPr="0026705F">
        <w:rPr>
          <w:rFonts w:ascii="Arial" w:hAnsi="Arial" w:cs="Arial"/>
          <w:sz w:val="28"/>
          <w:szCs w:val="28"/>
        </w:rPr>
        <w:t>% year-on</w:t>
      </w:r>
      <w:r w:rsidR="005E5283" w:rsidRPr="0068402A">
        <w:rPr>
          <w:rFonts w:ascii="Arial" w:hAnsi="Arial" w:cs="Arial"/>
          <w:sz w:val="28"/>
          <w:szCs w:val="28"/>
        </w:rPr>
        <w:t>-year</w:t>
      </w:r>
      <w:r w:rsidR="00A73D6B" w:rsidRPr="0068402A">
        <w:rPr>
          <w:rFonts w:ascii="Arial" w:hAnsi="Arial" w:cs="Arial"/>
          <w:sz w:val="28"/>
          <w:szCs w:val="28"/>
        </w:rPr>
        <w:t>.</w:t>
      </w:r>
    </w:p>
    <w:p w14:paraId="02703C6C" w14:textId="77777777" w:rsidR="00315583" w:rsidRDefault="00315583">
      <w:pPr>
        <w:rPr>
          <w:rFonts w:ascii="Arial" w:hAnsi="Arial" w:cs="Arial"/>
          <w:b/>
          <w:color w:val="002776" w:themeColor="background2"/>
          <w:sz w:val="32"/>
          <w:szCs w:val="28"/>
        </w:rPr>
      </w:pPr>
      <w:r>
        <w:rPr>
          <w:b/>
          <w:color w:val="002776" w:themeColor="background2"/>
          <w:sz w:val="32"/>
          <w:szCs w:val="28"/>
        </w:rPr>
        <w:br w:type="page"/>
      </w:r>
    </w:p>
    <w:p w14:paraId="0BEAD0BD" w14:textId="06C9AFF7" w:rsidR="00CD0912" w:rsidRPr="00A349E9" w:rsidRDefault="00CD0912" w:rsidP="00A2685D">
      <w:pPr>
        <w:pStyle w:val="BodyText"/>
        <w:spacing w:before="480" w:after="120"/>
        <w:ind w:right="64"/>
        <w:jc w:val="both"/>
        <w:rPr>
          <w:b/>
          <w:color w:val="002776" w:themeColor="background2"/>
          <w:sz w:val="32"/>
          <w:szCs w:val="28"/>
        </w:rPr>
      </w:pPr>
      <w:bookmarkStart w:id="0" w:name="_Hlk116403471"/>
      <w:r w:rsidRPr="00A349E9">
        <w:rPr>
          <w:b/>
          <w:color w:val="002776" w:themeColor="background2"/>
          <w:sz w:val="32"/>
          <w:szCs w:val="28"/>
        </w:rPr>
        <w:lastRenderedPageBreak/>
        <w:t>CASH FLOW AND BALANCE SHEET</w:t>
      </w:r>
    </w:p>
    <w:p w14:paraId="4B273BEA" w14:textId="6CFCD8FF" w:rsidR="00A127E4" w:rsidRPr="004B779F" w:rsidRDefault="00FF2AA0" w:rsidP="00A2329F">
      <w:pPr>
        <w:pStyle w:val="BodyText"/>
        <w:spacing w:before="100" w:beforeAutospacing="1" w:after="120"/>
        <w:ind w:right="64"/>
        <w:jc w:val="both"/>
        <w:rPr>
          <w:sz w:val="28"/>
          <w:szCs w:val="28"/>
          <w:highlight w:val="yellow"/>
        </w:rPr>
      </w:pPr>
      <w:r w:rsidRPr="00FF2AA0">
        <w:rPr>
          <w:sz w:val="28"/>
          <w:szCs w:val="28"/>
        </w:rPr>
        <w:t>Net cash at the end of</w:t>
      </w:r>
      <w:r w:rsidR="00815A80" w:rsidRPr="00FF2AA0">
        <w:rPr>
          <w:sz w:val="28"/>
          <w:szCs w:val="28"/>
        </w:rPr>
        <w:t xml:space="preserve"> the </w:t>
      </w:r>
      <w:r w:rsidR="00A2329F" w:rsidRPr="00FF2AA0">
        <w:rPr>
          <w:sz w:val="28"/>
          <w:szCs w:val="28"/>
        </w:rPr>
        <w:t xml:space="preserve">quarter </w:t>
      </w:r>
      <w:r w:rsidRPr="00FF2AA0">
        <w:rPr>
          <w:sz w:val="28"/>
          <w:szCs w:val="28"/>
        </w:rPr>
        <w:t>was</w:t>
      </w:r>
      <w:r w:rsidR="006615F7" w:rsidRPr="00FF2AA0">
        <w:rPr>
          <w:sz w:val="28"/>
          <w:szCs w:val="28"/>
        </w:rPr>
        <w:t xml:space="preserve"> </w:t>
      </w:r>
      <w:r w:rsidR="00F47A04" w:rsidRPr="00FF2AA0">
        <w:rPr>
          <w:sz w:val="28"/>
          <w:szCs w:val="28"/>
        </w:rPr>
        <w:t>c.£</w:t>
      </w:r>
      <w:r w:rsidRPr="00FF2AA0">
        <w:rPr>
          <w:sz w:val="28"/>
          <w:szCs w:val="28"/>
        </w:rPr>
        <w:t>80</w:t>
      </w:r>
      <w:r w:rsidR="001C02DF" w:rsidRPr="00FF2AA0">
        <w:rPr>
          <w:sz w:val="28"/>
          <w:szCs w:val="28"/>
        </w:rPr>
        <w:t>m</w:t>
      </w:r>
      <w:r w:rsidR="00DB0497">
        <w:rPr>
          <w:sz w:val="28"/>
          <w:szCs w:val="28"/>
        </w:rPr>
        <w:t>, in line with our expectations</w:t>
      </w:r>
      <w:r w:rsidR="00DB0497" w:rsidRPr="00DB0497">
        <w:t xml:space="preserve"> </w:t>
      </w:r>
      <w:r w:rsidR="00DB0497" w:rsidRPr="00DB0497">
        <w:rPr>
          <w:sz w:val="28"/>
          <w:szCs w:val="28"/>
        </w:rPr>
        <w:t>and after purchasing £12 million</w:t>
      </w:r>
      <w:r w:rsidR="00DB0497">
        <w:rPr>
          <w:sz w:val="28"/>
          <w:szCs w:val="28"/>
        </w:rPr>
        <w:t xml:space="preserve"> of shares </w:t>
      </w:r>
      <w:r w:rsidR="00DB0497" w:rsidRPr="00DB0497">
        <w:rPr>
          <w:sz w:val="28"/>
          <w:szCs w:val="28"/>
        </w:rPr>
        <w:t>under our buyback programme</w:t>
      </w:r>
      <w:r w:rsidRPr="00FF2AA0">
        <w:rPr>
          <w:sz w:val="28"/>
          <w:szCs w:val="28"/>
        </w:rPr>
        <w:t>.</w:t>
      </w:r>
    </w:p>
    <w:p w14:paraId="17780792" w14:textId="6F16C02B" w:rsidR="008D425E" w:rsidRDefault="001570AA" w:rsidP="00A2329F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FF2AA0">
        <w:rPr>
          <w:sz w:val="28"/>
          <w:szCs w:val="28"/>
        </w:rPr>
        <w:t>O</w:t>
      </w:r>
      <w:r w:rsidR="00A2329F" w:rsidRPr="00FF2AA0">
        <w:rPr>
          <w:sz w:val="28"/>
          <w:szCs w:val="28"/>
        </w:rPr>
        <w:t>ur buyback program</w:t>
      </w:r>
      <w:r w:rsidR="00DD0467" w:rsidRPr="00FF2AA0">
        <w:rPr>
          <w:sz w:val="28"/>
          <w:szCs w:val="28"/>
        </w:rPr>
        <w:t>me</w:t>
      </w:r>
      <w:r w:rsidR="00A2329F" w:rsidRPr="00FF2AA0">
        <w:rPr>
          <w:sz w:val="28"/>
          <w:szCs w:val="28"/>
        </w:rPr>
        <w:t xml:space="preserve"> ha</w:t>
      </w:r>
      <w:r w:rsidR="00855CB1" w:rsidRPr="00FF2AA0">
        <w:rPr>
          <w:sz w:val="28"/>
          <w:szCs w:val="28"/>
        </w:rPr>
        <w:t>d</w:t>
      </w:r>
      <w:r w:rsidR="00A2329F" w:rsidRPr="00FF2AA0">
        <w:rPr>
          <w:sz w:val="28"/>
          <w:szCs w:val="28"/>
        </w:rPr>
        <w:t xml:space="preserve"> a </w:t>
      </w:r>
      <w:r w:rsidR="00F21150" w:rsidRPr="00FF2AA0">
        <w:rPr>
          <w:sz w:val="28"/>
          <w:szCs w:val="28"/>
        </w:rPr>
        <w:t>residual balance of £</w:t>
      </w:r>
      <w:r w:rsidR="00FF2AA0" w:rsidRPr="00FF2AA0">
        <w:rPr>
          <w:sz w:val="28"/>
          <w:szCs w:val="28"/>
        </w:rPr>
        <w:t>6</w:t>
      </w:r>
      <w:r w:rsidR="00F21150" w:rsidRPr="00FF2AA0">
        <w:rPr>
          <w:sz w:val="28"/>
          <w:szCs w:val="28"/>
        </w:rPr>
        <w:t>m</w:t>
      </w:r>
      <w:r w:rsidR="00A2329F" w:rsidRPr="00FF2AA0">
        <w:rPr>
          <w:sz w:val="28"/>
          <w:szCs w:val="28"/>
        </w:rPr>
        <w:t xml:space="preserve"> outstanding</w:t>
      </w:r>
      <w:r w:rsidR="00855CB1" w:rsidRPr="00FF2AA0">
        <w:rPr>
          <w:sz w:val="28"/>
          <w:szCs w:val="28"/>
        </w:rPr>
        <w:t xml:space="preserve"> as </w:t>
      </w:r>
      <w:proofErr w:type="gramStart"/>
      <w:r w:rsidR="00855CB1" w:rsidRPr="00FF2AA0">
        <w:rPr>
          <w:sz w:val="28"/>
          <w:szCs w:val="28"/>
        </w:rPr>
        <w:t>at</w:t>
      </w:r>
      <w:proofErr w:type="gramEnd"/>
      <w:r w:rsidR="00855CB1" w:rsidRPr="00FF2AA0">
        <w:rPr>
          <w:sz w:val="28"/>
          <w:szCs w:val="28"/>
        </w:rPr>
        <w:t xml:space="preserve"> 31</w:t>
      </w:r>
      <w:r w:rsidR="00FF2AA0" w:rsidRPr="00FF2AA0">
        <w:rPr>
          <w:sz w:val="28"/>
          <w:szCs w:val="28"/>
          <w:vertAlign w:val="superscript"/>
        </w:rPr>
        <w:t xml:space="preserve">st </w:t>
      </w:r>
      <w:r w:rsidR="00FF2AA0" w:rsidRPr="00FF2AA0">
        <w:rPr>
          <w:sz w:val="28"/>
          <w:szCs w:val="28"/>
        </w:rPr>
        <w:t>March</w:t>
      </w:r>
      <w:r w:rsidR="00FA599D">
        <w:rPr>
          <w:sz w:val="28"/>
          <w:szCs w:val="28"/>
        </w:rPr>
        <w:t>, which we expect to complete in Q4</w:t>
      </w:r>
      <w:r w:rsidR="008D425E" w:rsidRPr="00FF2AA0">
        <w:rPr>
          <w:sz w:val="28"/>
          <w:szCs w:val="28"/>
        </w:rPr>
        <w:t>.</w:t>
      </w:r>
      <w:r w:rsidR="008D425E">
        <w:rPr>
          <w:sz w:val="28"/>
          <w:szCs w:val="28"/>
        </w:rPr>
        <w:t xml:space="preserve"> </w:t>
      </w:r>
    </w:p>
    <w:bookmarkEnd w:id="0"/>
    <w:p w14:paraId="7900D4E8" w14:textId="32A2ECA5" w:rsidR="00E727EF" w:rsidRPr="00020043" w:rsidRDefault="00E727EF" w:rsidP="00E1275E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E1275E">
        <w:rPr>
          <w:sz w:val="28"/>
          <w:szCs w:val="28"/>
        </w:rPr>
        <w:br w:type="page"/>
      </w:r>
    </w:p>
    <w:p w14:paraId="2FF4C1D1" w14:textId="77777777" w:rsidR="00CD0912" w:rsidRPr="008F2419" w:rsidRDefault="00CD0912" w:rsidP="00A2685D">
      <w:pPr>
        <w:pStyle w:val="BodyText"/>
        <w:spacing w:before="480" w:after="120"/>
        <w:ind w:right="64"/>
        <w:jc w:val="both"/>
        <w:rPr>
          <w:b/>
          <w:color w:val="002776" w:themeColor="background2"/>
          <w:sz w:val="32"/>
          <w:szCs w:val="28"/>
        </w:rPr>
      </w:pPr>
      <w:r w:rsidRPr="008F2419">
        <w:rPr>
          <w:b/>
          <w:color w:val="002776" w:themeColor="background2"/>
          <w:sz w:val="32"/>
          <w:szCs w:val="28"/>
        </w:rPr>
        <w:lastRenderedPageBreak/>
        <w:t>CURRENT TRADING</w:t>
      </w:r>
      <w:r w:rsidR="0023275A" w:rsidRPr="008F2419">
        <w:rPr>
          <w:b/>
          <w:color w:val="002776" w:themeColor="background2"/>
          <w:sz w:val="32"/>
          <w:szCs w:val="28"/>
        </w:rPr>
        <w:t xml:space="preserve"> and GUIDA</w:t>
      </w:r>
      <w:r w:rsidR="00EF34B3" w:rsidRPr="008F2419">
        <w:rPr>
          <w:b/>
          <w:color w:val="002776" w:themeColor="background2"/>
          <w:sz w:val="32"/>
          <w:szCs w:val="28"/>
        </w:rPr>
        <w:t>NCE</w:t>
      </w:r>
    </w:p>
    <w:p w14:paraId="73FC12AB" w14:textId="0872F8C8" w:rsidR="000A1D0C" w:rsidRPr="0068402A" w:rsidRDefault="00DF4C0C" w:rsidP="000A1D0C">
      <w:pPr>
        <w:pStyle w:val="BodyText"/>
        <w:spacing w:before="480" w:after="120"/>
        <w:ind w:right="64"/>
        <w:jc w:val="both"/>
        <w:rPr>
          <w:b/>
          <w:sz w:val="28"/>
          <w:szCs w:val="28"/>
        </w:rPr>
      </w:pPr>
      <w:r w:rsidRPr="0068402A">
        <w:rPr>
          <w:b/>
          <w:sz w:val="28"/>
          <w:szCs w:val="28"/>
        </w:rPr>
        <w:t xml:space="preserve">I would make the following </w:t>
      </w:r>
      <w:r w:rsidR="006728CF" w:rsidRPr="0068402A">
        <w:rPr>
          <w:b/>
          <w:sz w:val="28"/>
          <w:szCs w:val="28"/>
        </w:rPr>
        <w:t>points</w:t>
      </w:r>
      <w:r w:rsidR="00893FED" w:rsidRPr="0068402A">
        <w:rPr>
          <w:b/>
          <w:sz w:val="28"/>
          <w:szCs w:val="28"/>
        </w:rPr>
        <w:t>:</w:t>
      </w:r>
    </w:p>
    <w:p w14:paraId="6C28747A" w14:textId="17C42D3B" w:rsidR="006956B3" w:rsidRPr="006956B3" w:rsidRDefault="00F2470F" w:rsidP="00B862D5">
      <w:pPr>
        <w:pStyle w:val="BodyText"/>
        <w:numPr>
          <w:ilvl w:val="0"/>
          <w:numId w:val="24"/>
        </w:numPr>
        <w:spacing w:before="100" w:beforeAutospacing="1" w:after="120"/>
        <w:ind w:left="709" w:right="64" w:hanging="567"/>
        <w:jc w:val="both"/>
        <w:rPr>
          <w:sz w:val="28"/>
          <w:szCs w:val="28"/>
        </w:rPr>
      </w:pPr>
      <w:bookmarkStart w:id="1" w:name="_Hlk116301394"/>
      <w:bookmarkStart w:id="2" w:name="_Hlk115971797"/>
      <w:r w:rsidRPr="00F2470F">
        <w:rPr>
          <w:color w:val="000000"/>
          <w:sz w:val="28"/>
          <w:szCs w:val="28"/>
        </w:rPr>
        <w:t>Client and candidate activity remains solid overall in our Temp and Contracting business</w:t>
      </w:r>
      <w:r w:rsidR="000A5A43">
        <w:rPr>
          <w:color w:val="000000"/>
          <w:sz w:val="28"/>
          <w:szCs w:val="28"/>
        </w:rPr>
        <w:t xml:space="preserve">, </w:t>
      </w:r>
      <w:r w:rsidR="000A5A43" w:rsidRPr="000A5A43">
        <w:rPr>
          <w:color w:val="000000"/>
          <w:sz w:val="28"/>
          <w:szCs w:val="28"/>
        </w:rPr>
        <w:t xml:space="preserve">with </w:t>
      </w:r>
      <w:r w:rsidR="0081160B">
        <w:rPr>
          <w:color w:val="000000"/>
          <w:sz w:val="28"/>
          <w:szCs w:val="28"/>
        </w:rPr>
        <w:t>modestly</w:t>
      </w:r>
      <w:r w:rsidR="000A5A43" w:rsidRPr="000A5A43">
        <w:rPr>
          <w:color w:val="000000"/>
          <w:sz w:val="28"/>
          <w:szCs w:val="28"/>
        </w:rPr>
        <w:t xml:space="preserve"> lower numbers of new assignments broadly offset by </w:t>
      </w:r>
      <w:r w:rsidR="0081160B">
        <w:rPr>
          <w:color w:val="000000"/>
          <w:sz w:val="28"/>
          <w:szCs w:val="28"/>
        </w:rPr>
        <w:t>higher numbers of</w:t>
      </w:r>
      <w:r w:rsidR="000A5A43" w:rsidRPr="000A5A43">
        <w:rPr>
          <w:color w:val="000000"/>
          <w:sz w:val="28"/>
          <w:szCs w:val="28"/>
        </w:rPr>
        <w:t xml:space="preserve"> contract extensions</w:t>
      </w:r>
      <w:r w:rsidR="000A5A43">
        <w:rPr>
          <w:color w:val="000000"/>
          <w:sz w:val="28"/>
          <w:szCs w:val="28"/>
        </w:rPr>
        <w:t xml:space="preserve">. </w:t>
      </w:r>
      <w:r w:rsidR="000A5A43" w:rsidRPr="000A5A43">
        <w:rPr>
          <w:color w:val="000000"/>
          <w:sz w:val="28"/>
          <w:szCs w:val="28"/>
        </w:rPr>
        <w:t xml:space="preserve"> In Perm, we have continued to see further lengthening of ‘time-to-hire’, driven by </w:t>
      </w:r>
      <w:r w:rsidR="00F129C8">
        <w:rPr>
          <w:color w:val="000000"/>
          <w:sz w:val="28"/>
          <w:szCs w:val="28"/>
        </w:rPr>
        <w:t>increased</w:t>
      </w:r>
      <w:r w:rsidR="000A5A43" w:rsidRPr="000A5A43">
        <w:rPr>
          <w:color w:val="000000"/>
          <w:sz w:val="28"/>
          <w:szCs w:val="28"/>
        </w:rPr>
        <w:t xml:space="preserve"> client and candidate uncertainty</w:t>
      </w:r>
      <w:r w:rsidRPr="00F2470F">
        <w:rPr>
          <w:color w:val="000000"/>
          <w:sz w:val="28"/>
          <w:szCs w:val="28"/>
        </w:rPr>
        <w:t>.</w:t>
      </w:r>
      <w:r w:rsidR="006956B3">
        <w:rPr>
          <w:color w:val="000000"/>
          <w:sz w:val="28"/>
          <w:szCs w:val="28"/>
        </w:rPr>
        <w:t xml:space="preserve"> </w:t>
      </w:r>
    </w:p>
    <w:p w14:paraId="507B7FAE" w14:textId="77777777" w:rsidR="00AA77CF" w:rsidRPr="006956B3" w:rsidRDefault="006956B3" w:rsidP="00AA77CF">
      <w:pPr>
        <w:pStyle w:val="BodyText"/>
        <w:numPr>
          <w:ilvl w:val="0"/>
          <w:numId w:val="24"/>
        </w:numPr>
        <w:spacing w:before="100" w:beforeAutospacing="1" w:after="120"/>
        <w:ind w:left="709" w:right="64" w:hanging="567"/>
        <w:jc w:val="both"/>
        <w:rPr>
          <w:sz w:val="28"/>
          <w:szCs w:val="28"/>
        </w:rPr>
      </w:pPr>
      <w:r w:rsidRPr="006956B3">
        <w:rPr>
          <w:color w:val="000000"/>
          <w:sz w:val="28"/>
          <w:szCs w:val="28"/>
        </w:rPr>
        <w:t>Demand in our core markets continues to be underpinned by skill shortages globally.</w:t>
      </w:r>
      <w:r>
        <w:rPr>
          <w:color w:val="000000"/>
          <w:sz w:val="28"/>
          <w:szCs w:val="28"/>
        </w:rPr>
        <w:t xml:space="preserve"> </w:t>
      </w:r>
      <w:r w:rsidR="00AA77CF" w:rsidRPr="006956B3">
        <w:rPr>
          <w:color w:val="000000"/>
          <w:sz w:val="28"/>
          <w:szCs w:val="28"/>
        </w:rPr>
        <w:t>Our actions are driving supportive margin dynamics, as is wage inflation, and we expect to remain a net beneficiary of wage inflation through FY23.</w:t>
      </w:r>
    </w:p>
    <w:p w14:paraId="591B1016" w14:textId="653CEA6D" w:rsidR="00B862D5" w:rsidRPr="006956B3" w:rsidRDefault="00AA77CF" w:rsidP="00B862D5">
      <w:pPr>
        <w:pStyle w:val="BodyText"/>
        <w:numPr>
          <w:ilvl w:val="0"/>
          <w:numId w:val="24"/>
        </w:numPr>
        <w:spacing w:before="100" w:beforeAutospacing="1" w:after="120"/>
        <w:ind w:left="709" w:right="64" w:hanging="567"/>
        <w:jc w:val="both"/>
        <w:rPr>
          <w:sz w:val="28"/>
          <w:szCs w:val="28"/>
        </w:rPr>
      </w:pPr>
      <w:r>
        <w:rPr>
          <w:sz w:val="28"/>
          <w:szCs w:val="28"/>
        </w:rPr>
        <w:t>Driven by our action</w:t>
      </w:r>
      <w:r w:rsidR="00C8337C">
        <w:rPr>
          <w:sz w:val="28"/>
          <w:szCs w:val="28"/>
        </w:rPr>
        <w:t>s over</w:t>
      </w:r>
      <w:r>
        <w:rPr>
          <w:sz w:val="28"/>
          <w:szCs w:val="28"/>
        </w:rPr>
        <w:t xml:space="preserve"> </w:t>
      </w:r>
      <w:r w:rsidR="000A5A43">
        <w:rPr>
          <w:sz w:val="28"/>
          <w:szCs w:val="28"/>
        </w:rPr>
        <w:t>recent</w:t>
      </w:r>
      <w:r>
        <w:rPr>
          <w:sz w:val="28"/>
          <w:szCs w:val="28"/>
        </w:rPr>
        <w:t xml:space="preserve"> quarters, </w:t>
      </w:r>
      <w:r w:rsidR="00C8337C">
        <w:rPr>
          <w:sz w:val="28"/>
          <w:szCs w:val="28"/>
        </w:rPr>
        <w:t xml:space="preserve">Group </w:t>
      </w:r>
      <w:r>
        <w:rPr>
          <w:sz w:val="28"/>
          <w:szCs w:val="28"/>
        </w:rPr>
        <w:t xml:space="preserve">consultant headcount growth is </w:t>
      </w:r>
      <w:r w:rsidR="00DA1CA1">
        <w:rPr>
          <w:sz w:val="28"/>
          <w:szCs w:val="28"/>
        </w:rPr>
        <w:t xml:space="preserve">now </w:t>
      </w:r>
      <w:r w:rsidR="0084027A">
        <w:rPr>
          <w:sz w:val="28"/>
          <w:szCs w:val="28"/>
        </w:rPr>
        <w:t>in line with</w:t>
      </w:r>
      <w:r>
        <w:rPr>
          <w:sz w:val="28"/>
          <w:szCs w:val="28"/>
        </w:rPr>
        <w:t xml:space="preserve"> </w:t>
      </w:r>
      <w:r w:rsidR="00C8337C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fee growth, </w:t>
      </w:r>
      <w:r w:rsidR="0084027A">
        <w:rPr>
          <w:sz w:val="28"/>
          <w:szCs w:val="28"/>
        </w:rPr>
        <w:t xml:space="preserve">with </w:t>
      </w:r>
      <w:r w:rsidR="00DA1CA1">
        <w:rPr>
          <w:sz w:val="28"/>
          <w:szCs w:val="28"/>
        </w:rPr>
        <w:t xml:space="preserve">improving average productivity, </w:t>
      </w:r>
      <w:r>
        <w:rPr>
          <w:sz w:val="28"/>
          <w:szCs w:val="28"/>
        </w:rPr>
        <w:t>and we have appropriate capacity for current market conditions. W</w:t>
      </w:r>
      <w:r w:rsidR="00643B17" w:rsidRPr="006956B3">
        <w:rPr>
          <w:sz w:val="28"/>
          <w:szCs w:val="28"/>
        </w:rPr>
        <w:t xml:space="preserve">e </w:t>
      </w:r>
      <w:r w:rsidR="00B862D5" w:rsidRPr="006956B3">
        <w:rPr>
          <w:sz w:val="28"/>
          <w:szCs w:val="28"/>
        </w:rPr>
        <w:t>expect consultant headcount will be broadly flat in Q</w:t>
      </w:r>
      <w:r>
        <w:rPr>
          <w:sz w:val="28"/>
          <w:szCs w:val="28"/>
        </w:rPr>
        <w:t>4</w:t>
      </w:r>
      <w:r w:rsidR="00B862D5" w:rsidRPr="006956B3">
        <w:rPr>
          <w:sz w:val="28"/>
          <w:szCs w:val="28"/>
        </w:rPr>
        <w:t xml:space="preserve"> overall, as we focus on </w:t>
      </w:r>
      <w:r w:rsidR="00DA1CA1">
        <w:rPr>
          <w:sz w:val="28"/>
          <w:szCs w:val="28"/>
        </w:rPr>
        <w:t xml:space="preserve">further </w:t>
      </w:r>
      <w:r w:rsidR="00B862D5" w:rsidRPr="006956B3">
        <w:rPr>
          <w:sz w:val="28"/>
          <w:szCs w:val="28"/>
        </w:rPr>
        <w:t xml:space="preserve">driving productivity. </w:t>
      </w:r>
    </w:p>
    <w:p w14:paraId="28CEA2B6" w14:textId="398AC79B" w:rsidR="00B862D5" w:rsidRDefault="00643B17" w:rsidP="00B862D5">
      <w:pPr>
        <w:pStyle w:val="BodyText"/>
        <w:numPr>
          <w:ilvl w:val="0"/>
          <w:numId w:val="24"/>
        </w:numPr>
        <w:spacing w:before="100" w:beforeAutospacing="1" w:after="120"/>
        <w:ind w:left="709" w:right="64" w:hanging="567"/>
        <w:jc w:val="both"/>
        <w:rPr>
          <w:sz w:val="28"/>
          <w:szCs w:val="28"/>
        </w:rPr>
      </w:pPr>
      <w:r w:rsidRPr="006956B3">
        <w:rPr>
          <w:sz w:val="28"/>
          <w:szCs w:val="28"/>
        </w:rPr>
        <w:t>T</w:t>
      </w:r>
      <w:r w:rsidR="00B862D5" w:rsidRPr="006956B3">
        <w:rPr>
          <w:sz w:val="28"/>
          <w:szCs w:val="28"/>
        </w:rPr>
        <w:t xml:space="preserve">he Group's cost base per period </w:t>
      </w:r>
      <w:r w:rsidR="00AA77CF">
        <w:rPr>
          <w:sz w:val="28"/>
          <w:szCs w:val="28"/>
        </w:rPr>
        <w:t>was stable over the quarter and we remain</w:t>
      </w:r>
      <w:r w:rsidR="001444D7">
        <w:rPr>
          <w:sz w:val="28"/>
          <w:szCs w:val="28"/>
        </w:rPr>
        <w:t xml:space="preserve"> highly </w:t>
      </w:r>
      <w:r w:rsidR="00AA77CF">
        <w:rPr>
          <w:sz w:val="28"/>
          <w:szCs w:val="28"/>
        </w:rPr>
        <w:t>focused on managing cost</w:t>
      </w:r>
      <w:r w:rsidR="00DD0467" w:rsidRPr="006956B3">
        <w:rPr>
          <w:sz w:val="28"/>
          <w:szCs w:val="28"/>
        </w:rPr>
        <w:t>.</w:t>
      </w:r>
    </w:p>
    <w:p w14:paraId="3CE01283" w14:textId="5954BE01" w:rsidR="00AA77CF" w:rsidRPr="006956B3" w:rsidRDefault="000A5A43" w:rsidP="00B862D5">
      <w:pPr>
        <w:pStyle w:val="BodyText"/>
        <w:numPr>
          <w:ilvl w:val="0"/>
          <w:numId w:val="24"/>
        </w:numPr>
        <w:spacing w:before="100" w:beforeAutospacing="1" w:after="120"/>
        <w:ind w:left="709" w:right="64" w:hanging="567"/>
        <w:jc w:val="both"/>
        <w:rPr>
          <w:sz w:val="28"/>
          <w:szCs w:val="28"/>
        </w:rPr>
      </w:pPr>
      <w:r w:rsidRPr="000A5A43">
        <w:rPr>
          <w:sz w:val="28"/>
          <w:szCs w:val="28"/>
        </w:rPr>
        <w:t xml:space="preserve">Assuming overall activity levels remain stable in our fourth quarter, we continue to expect H2 FY23 operating profit and conversion rate will be </w:t>
      </w:r>
      <w:r w:rsidR="009971B3">
        <w:rPr>
          <w:sz w:val="28"/>
          <w:szCs w:val="28"/>
        </w:rPr>
        <w:t xml:space="preserve">modestly </w:t>
      </w:r>
      <w:r w:rsidRPr="000A5A43">
        <w:rPr>
          <w:sz w:val="28"/>
          <w:szCs w:val="28"/>
        </w:rPr>
        <w:t>above H1 FY23</w:t>
      </w:r>
      <w:r>
        <w:rPr>
          <w:sz w:val="28"/>
          <w:szCs w:val="28"/>
        </w:rPr>
        <w:t>.</w:t>
      </w:r>
    </w:p>
    <w:bookmarkEnd w:id="1"/>
    <w:bookmarkEnd w:id="2"/>
    <w:p w14:paraId="6A4CC6AD" w14:textId="6611F365" w:rsidR="000A5A43" w:rsidRPr="006956B3" w:rsidRDefault="003D1C8C" w:rsidP="000A5A43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6956B3">
        <w:rPr>
          <w:sz w:val="28"/>
          <w:szCs w:val="28"/>
        </w:rPr>
        <w:t xml:space="preserve">In conclusion, </w:t>
      </w:r>
      <w:r w:rsidR="00C27864" w:rsidRPr="006956B3">
        <w:rPr>
          <w:sz w:val="28"/>
          <w:szCs w:val="28"/>
        </w:rPr>
        <w:t>we</w:t>
      </w:r>
      <w:r w:rsidR="00631513" w:rsidRPr="006956B3">
        <w:rPr>
          <w:sz w:val="28"/>
          <w:szCs w:val="28"/>
        </w:rPr>
        <w:t xml:space="preserve"> </w:t>
      </w:r>
      <w:r w:rsidR="00AA77CF">
        <w:rPr>
          <w:sz w:val="28"/>
          <w:szCs w:val="28"/>
        </w:rPr>
        <w:t xml:space="preserve">delivered a </w:t>
      </w:r>
      <w:r w:rsidR="009971B3">
        <w:rPr>
          <w:sz w:val="28"/>
          <w:szCs w:val="28"/>
        </w:rPr>
        <w:t>record</w:t>
      </w:r>
      <w:r w:rsidR="00AA77CF">
        <w:rPr>
          <w:sz w:val="28"/>
          <w:szCs w:val="28"/>
        </w:rPr>
        <w:t xml:space="preserve"> </w:t>
      </w:r>
      <w:r w:rsidR="009971B3">
        <w:rPr>
          <w:sz w:val="28"/>
          <w:szCs w:val="28"/>
        </w:rPr>
        <w:t>quarter</w:t>
      </w:r>
      <w:r w:rsidR="00AA77CF">
        <w:rPr>
          <w:sz w:val="28"/>
          <w:szCs w:val="28"/>
        </w:rPr>
        <w:t xml:space="preserve"> a</w:t>
      </w:r>
      <w:r w:rsidR="00F0709A" w:rsidRPr="006956B3">
        <w:rPr>
          <w:sz w:val="28"/>
          <w:szCs w:val="28"/>
        </w:rPr>
        <w:t xml:space="preserve">nd exited with </w:t>
      </w:r>
      <w:r w:rsidR="001444D7">
        <w:rPr>
          <w:sz w:val="28"/>
          <w:szCs w:val="28"/>
        </w:rPr>
        <w:t xml:space="preserve">Group </w:t>
      </w:r>
      <w:r w:rsidR="00F0709A" w:rsidRPr="006956B3">
        <w:rPr>
          <w:sz w:val="28"/>
          <w:szCs w:val="28"/>
        </w:rPr>
        <w:t xml:space="preserve">fee growth of </w:t>
      </w:r>
      <w:r w:rsidR="00AA77CF">
        <w:rPr>
          <w:sz w:val="28"/>
          <w:szCs w:val="28"/>
        </w:rPr>
        <w:t>4</w:t>
      </w:r>
      <w:r w:rsidR="00F0709A" w:rsidRPr="006956B3">
        <w:rPr>
          <w:sz w:val="28"/>
          <w:szCs w:val="28"/>
        </w:rPr>
        <w:t>%</w:t>
      </w:r>
      <w:r w:rsidR="00CA464D" w:rsidRPr="006956B3">
        <w:rPr>
          <w:sz w:val="28"/>
          <w:szCs w:val="28"/>
        </w:rPr>
        <w:t xml:space="preserve">, led by </w:t>
      </w:r>
      <w:r w:rsidR="000A5A43">
        <w:rPr>
          <w:sz w:val="28"/>
          <w:szCs w:val="28"/>
        </w:rPr>
        <w:t xml:space="preserve">strong </w:t>
      </w:r>
      <w:r w:rsidR="000A5A43" w:rsidRPr="000A5A43">
        <w:rPr>
          <w:sz w:val="28"/>
          <w:szCs w:val="28"/>
        </w:rPr>
        <w:t xml:space="preserve">growth in </w:t>
      </w:r>
      <w:r w:rsidR="00F2470F" w:rsidRPr="000A5A43">
        <w:rPr>
          <w:sz w:val="28"/>
          <w:szCs w:val="28"/>
        </w:rPr>
        <w:t>Temp &amp; Contracting</w:t>
      </w:r>
      <w:r w:rsidR="000A5A43" w:rsidRPr="000A5A43">
        <w:rPr>
          <w:sz w:val="28"/>
          <w:szCs w:val="28"/>
        </w:rPr>
        <w:t xml:space="preserve"> and </w:t>
      </w:r>
      <w:r w:rsidR="00CA464D" w:rsidRPr="000A5A43">
        <w:rPr>
          <w:sz w:val="28"/>
          <w:szCs w:val="28"/>
        </w:rPr>
        <w:t>our largest market of Germany</w:t>
      </w:r>
      <w:r w:rsidR="00F0709A" w:rsidRPr="000A5A43">
        <w:rPr>
          <w:sz w:val="28"/>
          <w:szCs w:val="28"/>
        </w:rPr>
        <w:t>.</w:t>
      </w:r>
      <w:r w:rsidR="00F0709A" w:rsidRPr="006956B3">
        <w:rPr>
          <w:sz w:val="28"/>
          <w:szCs w:val="28"/>
        </w:rPr>
        <w:t xml:space="preserve"> </w:t>
      </w:r>
      <w:r w:rsidR="000A5A43" w:rsidRPr="006956B3">
        <w:rPr>
          <w:sz w:val="28"/>
          <w:szCs w:val="28"/>
        </w:rPr>
        <w:t xml:space="preserve">Our focus is on </w:t>
      </w:r>
      <w:r w:rsidR="000A5A43">
        <w:rPr>
          <w:sz w:val="28"/>
          <w:szCs w:val="28"/>
        </w:rPr>
        <w:t xml:space="preserve">driving productivity, </w:t>
      </w:r>
      <w:r w:rsidR="000A5A43" w:rsidRPr="006956B3">
        <w:rPr>
          <w:sz w:val="28"/>
          <w:szCs w:val="28"/>
        </w:rPr>
        <w:t xml:space="preserve">further increasing </w:t>
      </w:r>
      <w:r w:rsidR="000A5A43">
        <w:rPr>
          <w:sz w:val="28"/>
          <w:szCs w:val="28"/>
        </w:rPr>
        <w:t xml:space="preserve">fee </w:t>
      </w:r>
      <w:proofErr w:type="gramStart"/>
      <w:r w:rsidR="000A5A43" w:rsidRPr="006956B3">
        <w:rPr>
          <w:sz w:val="28"/>
          <w:szCs w:val="28"/>
        </w:rPr>
        <w:t>margins</w:t>
      </w:r>
      <w:proofErr w:type="gramEnd"/>
      <w:r w:rsidR="000A5A43" w:rsidRPr="006956B3">
        <w:rPr>
          <w:sz w:val="28"/>
          <w:szCs w:val="28"/>
        </w:rPr>
        <w:t xml:space="preserve"> and closely managing our overheads, while capitalising on the significant opportunities we see in the longer term.  </w:t>
      </w:r>
    </w:p>
    <w:p w14:paraId="4B28ED3B" w14:textId="4933ACFD" w:rsidR="002B1B25" w:rsidRPr="006956B3" w:rsidRDefault="000A5A43" w:rsidP="008E623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2B1B25" w:rsidRPr="006956B3">
        <w:rPr>
          <w:sz w:val="28"/>
          <w:szCs w:val="28"/>
        </w:rPr>
        <w:t xml:space="preserve">learly, we </w:t>
      </w:r>
      <w:r w:rsidR="00AA77CF">
        <w:rPr>
          <w:sz w:val="28"/>
          <w:szCs w:val="28"/>
        </w:rPr>
        <w:t xml:space="preserve">remain </w:t>
      </w:r>
      <w:r w:rsidR="001444D7">
        <w:rPr>
          <w:sz w:val="28"/>
          <w:szCs w:val="28"/>
        </w:rPr>
        <w:t>vigilant</w:t>
      </w:r>
      <w:r w:rsidR="002B1B25" w:rsidRPr="006956B3">
        <w:rPr>
          <w:sz w:val="28"/>
          <w:szCs w:val="28"/>
        </w:rPr>
        <w:t xml:space="preserve"> of macroeconomic </w:t>
      </w:r>
      <w:r w:rsidR="00830F48" w:rsidRPr="006956B3">
        <w:rPr>
          <w:sz w:val="28"/>
          <w:szCs w:val="28"/>
        </w:rPr>
        <w:t>uncertainties</w:t>
      </w:r>
      <w:r>
        <w:rPr>
          <w:sz w:val="28"/>
          <w:szCs w:val="28"/>
        </w:rPr>
        <w:t xml:space="preserve">. We have a flexible business model, and </w:t>
      </w:r>
      <w:r w:rsidR="00CA464D" w:rsidRPr="006956B3">
        <w:rPr>
          <w:sz w:val="28"/>
          <w:szCs w:val="28"/>
        </w:rPr>
        <w:t xml:space="preserve">our highly experienced </w:t>
      </w:r>
      <w:r w:rsidR="002B1B25" w:rsidRPr="006956B3">
        <w:rPr>
          <w:sz w:val="28"/>
          <w:szCs w:val="28"/>
        </w:rPr>
        <w:t xml:space="preserve">management teams </w:t>
      </w:r>
      <w:r w:rsidR="00CA464D" w:rsidRPr="006956B3">
        <w:rPr>
          <w:sz w:val="28"/>
          <w:szCs w:val="28"/>
        </w:rPr>
        <w:t xml:space="preserve">will react swiftly to any </w:t>
      </w:r>
      <w:r w:rsidRPr="006956B3">
        <w:rPr>
          <w:sz w:val="28"/>
          <w:szCs w:val="28"/>
        </w:rPr>
        <w:t>changes</w:t>
      </w:r>
      <w:r>
        <w:rPr>
          <w:sz w:val="28"/>
          <w:szCs w:val="28"/>
        </w:rPr>
        <w:t xml:space="preserve"> and</w:t>
      </w:r>
      <w:r w:rsidR="00CA464D" w:rsidRPr="006956B3">
        <w:rPr>
          <w:sz w:val="28"/>
          <w:szCs w:val="28"/>
        </w:rPr>
        <w:t xml:space="preserve"> </w:t>
      </w:r>
      <w:r w:rsidR="002B1B25" w:rsidRPr="006956B3">
        <w:rPr>
          <w:sz w:val="28"/>
          <w:szCs w:val="28"/>
        </w:rPr>
        <w:t xml:space="preserve">are watching lead indicators closely. </w:t>
      </w:r>
    </w:p>
    <w:p w14:paraId="47BDDD3D" w14:textId="2EE9175C" w:rsidR="003D1C8C" w:rsidRDefault="00F17EE2" w:rsidP="006E2946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6956B3">
        <w:rPr>
          <w:sz w:val="28"/>
          <w:szCs w:val="28"/>
        </w:rPr>
        <w:t>I will now hand you back to the administrator</w:t>
      </w:r>
      <w:r w:rsidR="000769AB" w:rsidRPr="006956B3">
        <w:rPr>
          <w:sz w:val="28"/>
          <w:szCs w:val="28"/>
        </w:rPr>
        <w:t>,</w:t>
      </w:r>
      <w:r w:rsidRPr="006956B3">
        <w:rPr>
          <w:sz w:val="28"/>
          <w:szCs w:val="28"/>
        </w:rPr>
        <w:t xml:space="preserve"> and we</w:t>
      </w:r>
      <w:r w:rsidR="000769AB" w:rsidRPr="006956B3">
        <w:rPr>
          <w:sz w:val="28"/>
          <w:szCs w:val="28"/>
        </w:rPr>
        <w:t xml:space="preserve"> are </w:t>
      </w:r>
      <w:r w:rsidRPr="006956B3">
        <w:rPr>
          <w:sz w:val="28"/>
          <w:szCs w:val="28"/>
        </w:rPr>
        <w:t xml:space="preserve">happy to take </w:t>
      </w:r>
      <w:r w:rsidR="000769AB" w:rsidRPr="006956B3">
        <w:rPr>
          <w:sz w:val="28"/>
          <w:szCs w:val="28"/>
        </w:rPr>
        <w:t xml:space="preserve">your </w:t>
      </w:r>
      <w:r w:rsidRPr="006956B3">
        <w:rPr>
          <w:sz w:val="28"/>
          <w:szCs w:val="28"/>
        </w:rPr>
        <w:t>questions.</w:t>
      </w:r>
    </w:p>
    <w:p w14:paraId="07477E23" w14:textId="3754B559" w:rsidR="00F17EE2" w:rsidRPr="00C259C3" w:rsidRDefault="00F17EE2" w:rsidP="00A2685D">
      <w:pPr>
        <w:pStyle w:val="BodyText"/>
        <w:spacing w:before="480" w:after="120"/>
        <w:ind w:right="64"/>
        <w:jc w:val="both"/>
        <w:rPr>
          <w:b/>
          <w:color w:val="007FA9" w:themeColor="accent2"/>
          <w:sz w:val="32"/>
          <w:szCs w:val="28"/>
        </w:rPr>
      </w:pPr>
      <w:r w:rsidRPr="00C259C3">
        <w:rPr>
          <w:b/>
          <w:color w:val="007FA9" w:themeColor="accent2"/>
          <w:sz w:val="32"/>
          <w:szCs w:val="28"/>
        </w:rPr>
        <w:t>Q&amp;A</w:t>
      </w:r>
    </w:p>
    <w:p w14:paraId="5CBEB2DF" w14:textId="77777777" w:rsidR="00F17EE2" w:rsidRPr="0068402A" w:rsidRDefault="00F17EE2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68402A">
        <w:rPr>
          <w:sz w:val="28"/>
          <w:szCs w:val="28"/>
        </w:rPr>
        <w:t xml:space="preserve">If that is all the questions for today, we’d like to thank you all again for joining the call. </w:t>
      </w:r>
    </w:p>
    <w:p w14:paraId="1AE0EAA8" w14:textId="43838ED9" w:rsidR="00281AB1" w:rsidRPr="007379F6" w:rsidRDefault="00281AB1" w:rsidP="00A2685D">
      <w:pPr>
        <w:pStyle w:val="BodyText"/>
        <w:spacing w:before="100" w:beforeAutospacing="1" w:after="120"/>
        <w:ind w:right="64"/>
        <w:jc w:val="both"/>
        <w:rPr>
          <w:sz w:val="28"/>
          <w:szCs w:val="28"/>
        </w:rPr>
      </w:pPr>
      <w:r w:rsidRPr="0068402A">
        <w:rPr>
          <w:sz w:val="28"/>
          <w:szCs w:val="28"/>
        </w:rPr>
        <w:t xml:space="preserve">I look forward to speaking to you next at </w:t>
      </w:r>
      <w:r w:rsidR="00F079B0" w:rsidRPr="0068402A">
        <w:rPr>
          <w:sz w:val="28"/>
          <w:szCs w:val="28"/>
        </w:rPr>
        <w:t xml:space="preserve">our </w:t>
      </w:r>
      <w:r w:rsidR="00FF2AA0">
        <w:rPr>
          <w:sz w:val="28"/>
          <w:szCs w:val="28"/>
        </w:rPr>
        <w:t xml:space="preserve">Q4 </w:t>
      </w:r>
      <w:r w:rsidR="004559CF">
        <w:rPr>
          <w:sz w:val="28"/>
          <w:szCs w:val="28"/>
        </w:rPr>
        <w:t>results</w:t>
      </w:r>
      <w:r w:rsidR="008828FD" w:rsidRPr="0068402A">
        <w:rPr>
          <w:sz w:val="28"/>
          <w:szCs w:val="28"/>
        </w:rPr>
        <w:t xml:space="preserve"> </w:t>
      </w:r>
      <w:r w:rsidR="00F079B0" w:rsidRPr="0068402A">
        <w:rPr>
          <w:sz w:val="28"/>
          <w:szCs w:val="28"/>
        </w:rPr>
        <w:t xml:space="preserve">on </w:t>
      </w:r>
      <w:r w:rsidR="00FF2AA0">
        <w:rPr>
          <w:sz w:val="28"/>
          <w:szCs w:val="28"/>
        </w:rPr>
        <w:t>13</w:t>
      </w:r>
      <w:r w:rsidR="00FF2AA0">
        <w:rPr>
          <w:sz w:val="28"/>
          <w:szCs w:val="28"/>
          <w:vertAlign w:val="superscript"/>
        </w:rPr>
        <w:t>th</w:t>
      </w:r>
      <w:r w:rsidR="00F0709A">
        <w:rPr>
          <w:sz w:val="28"/>
          <w:szCs w:val="28"/>
        </w:rPr>
        <w:t xml:space="preserve"> </w:t>
      </w:r>
      <w:r w:rsidR="00FF2AA0">
        <w:rPr>
          <w:sz w:val="28"/>
          <w:szCs w:val="28"/>
        </w:rPr>
        <w:t>July</w:t>
      </w:r>
      <w:r w:rsidR="00F079B0" w:rsidRPr="0068402A">
        <w:rPr>
          <w:sz w:val="28"/>
          <w:szCs w:val="28"/>
        </w:rPr>
        <w:t xml:space="preserve">. </w:t>
      </w:r>
      <w:r w:rsidRPr="0068402A">
        <w:rPr>
          <w:sz w:val="28"/>
          <w:szCs w:val="28"/>
        </w:rPr>
        <w:t xml:space="preserve">Should anyone have any follow up questions, David, </w:t>
      </w:r>
      <w:proofErr w:type="gramStart"/>
      <w:r w:rsidR="00FF2AA0">
        <w:rPr>
          <w:sz w:val="28"/>
          <w:szCs w:val="28"/>
        </w:rPr>
        <w:t>Rob</w:t>
      </w:r>
      <w:proofErr w:type="gramEnd"/>
      <w:r w:rsidRPr="0068402A">
        <w:rPr>
          <w:sz w:val="28"/>
          <w:szCs w:val="28"/>
        </w:rPr>
        <w:t xml:space="preserve"> and I will be available to take calls for the rest of the day.</w:t>
      </w:r>
    </w:p>
    <w:sectPr w:rsidR="00281AB1" w:rsidRPr="007379F6" w:rsidSect="00E727EF">
      <w:headerReference w:type="default" r:id="rId8"/>
      <w:footerReference w:type="default" r:id="rId9"/>
      <w:pgSz w:w="11906" w:h="16838"/>
      <w:pgMar w:top="1440" w:right="926" w:bottom="130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3D68" w14:textId="77777777" w:rsidR="00520E15" w:rsidRDefault="00520E15">
      <w:r>
        <w:separator/>
      </w:r>
    </w:p>
  </w:endnote>
  <w:endnote w:type="continuationSeparator" w:id="0">
    <w:p w14:paraId="643AD95A" w14:textId="77777777" w:rsidR="00520E15" w:rsidRDefault="0052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493F" w14:textId="77777777" w:rsidR="0093695E" w:rsidRDefault="0093695E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BC482E">
      <w:rPr>
        <w:rStyle w:val="PageNumber"/>
        <w:rFonts w:ascii="Arial" w:hAnsi="Arial" w:cs="Arial"/>
        <w:noProof/>
        <w:sz w:val="20"/>
      </w:rPr>
      <w:t>8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0649" w14:textId="77777777" w:rsidR="00520E15" w:rsidRDefault="00520E15">
      <w:r>
        <w:separator/>
      </w:r>
    </w:p>
  </w:footnote>
  <w:footnote w:type="continuationSeparator" w:id="0">
    <w:p w14:paraId="7156A2BA" w14:textId="77777777" w:rsidR="00520E15" w:rsidRDefault="0052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79D1" w14:textId="23BDFE17" w:rsidR="005259F1" w:rsidRDefault="005259F1" w:rsidP="00020660">
    <w:pPr>
      <w:pStyle w:val="Header"/>
      <w:jc w:val="right"/>
    </w:pPr>
    <w:r>
      <w:rPr>
        <w:noProof/>
      </w:rPr>
      <w:drawing>
        <wp:inline distT="0" distB="0" distL="0" distR="0" wp14:anchorId="759DEC01" wp14:editId="513D9D25">
          <wp:extent cx="1381585" cy="21600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81585" cy="2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7F64B4" w14:textId="77777777" w:rsidR="0093695E" w:rsidRDefault="0093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A27"/>
    <w:multiLevelType w:val="hybridMultilevel"/>
    <w:tmpl w:val="1F94F434"/>
    <w:lvl w:ilvl="0" w:tplc="5D922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525"/>
    <w:multiLevelType w:val="hybridMultilevel"/>
    <w:tmpl w:val="CEA0884C"/>
    <w:lvl w:ilvl="0" w:tplc="AA340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34B3F"/>
    <w:multiLevelType w:val="hybridMultilevel"/>
    <w:tmpl w:val="FA400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03DC"/>
    <w:multiLevelType w:val="hybridMultilevel"/>
    <w:tmpl w:val="8BB2C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4215"/>
    <w:multiLevelType w:val="hybridMultilevel"/>
    <w:tmpl w:val="19205FEA"/>
    <w:lvl w:ilvl="0" w:tplc="DDCEB7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63FF"/>
    <w:multiLevelType w:val="hybridMultilevel"/>
    <w:tmpl w:val="45808F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494351"/>
    <w:multiLevelType w:val="hybridMultilevel"/>
    <w:tmpl w:val="AD1801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773FE"/>
    <w:multiLevelType w:val="multilevel"/>
    <w:tmpl w:val="9B3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F269F"/>
    <w:multiLevelType w:val="hybridMultilevel"/>
    <w:tmpl w:val="E29C2DFC"/>
    <w:lvl w:ilvl="0" w:tplc="1A0C9DB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F20ADE"/>
    <w:multiLevelType w:val="hybridMultilevel"/>
    <w:tmpl w:val="356E0D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4B7C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080297C"/>
    <w:multiLevelType w:val="hybridMultilevel"/>
    <w:tmpl w:val="7F740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665A"/>
    <w:multiLevelType w:val="hybridMultilevel"/>
    <w:tmpl w:val="0A3E2E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653E9"/>
    <w:multiLevelType w:val="hybridMultilevel"/>
    <w:tmpl w:val="DFF2D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D0DEB"/>
    <w:multiLevelType w:val="hybridMultilevel"/>
    <w:tmpl w:val="FD1227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610C6"/>
    <w:multiLevelType w:val="hybridMultilevel"/>
    <w:tmpl w:val="DFF2D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5710A"/>
    <w:multiLevelType w:val="hybridMultilevel"/>
    <w:tmpl w:val="C3B8F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F6176"/>
    <w:multiLevelType w:val="hybridMultilevel"/>
    <w:tmpl w:val="356E0DE4"/>
    <w:lvl w:ilvl="0" w:tplc="DB969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3154B7C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7B0696"/>
    <w:multiLevelType w:val="hybridMultilevel"/>
    <w:tmpl w:val="BCEEAE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6DF0"/>
    <w:multiLevelType w:val="hybridMultilevel"/>
    <w:tmpl w:val="C40EC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6B4824"/>
    <w:multiLevelType w:val="hybridMultilevel"/>
    <w:tmpl w:val="56BCFF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F1001F"/>
    <w:multiLevelType w:val="hybridMultilevel"/>
    <w:tmpl w:val="7F740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C6C91"/>
    <w:multiLevelType w:val="hybridMultilevel"/>
    <w:tmpl w:val="7B0855A4"/>
    <w:lvl w:ilvl="0" w:tplc="5D922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B5ACA"/>
    <w:multiLevelType w:val="hybridMultilevel"/>
    <w:tmpl w:val="D4929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E4AAC"/>
    <w:multiLevelType w:val="hybridMultilevel"/>
    <w:tmpl w:val="DFF2D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22509">
    <w:abstractNumId w:val="8"/>
  </w:num>
  <w:num w:numId="2" w16cid:durableId="728189575">
    <w:abstractNumId w:val="16"/>
  </w:num>
  <w:num w:numId="3" w16cid:durableId="1696613016">
    <w:abstractNumId w:val="9"/>
  </w:num>
  <w:num w:numId="4" w16cid:durableId="1005401467">
    <w:abstractNumId w:val="18"/>
  </w:num>
  <w:num w:numId="5" w16cid:durableId="453208481">
    <w:abstractNumId w:val="2"/>
  </w:num>
  <w:num w:numId="6" w16cid:durableId="836729259">
    <w:abstractNumId w:val="4"/>
  </w:num>
  <w:num w:numId="7" w16cid:durableId="1521384757">
    <w:abstractNumId w:val="0"/>
  </w:num>
  <w:num w:numId="8" w16cid:durableId="1050148909">
    <w:abstractNumId w:val="21"/>
  </w:num>
  <w:num w:numId="9" w16cid:durableId="1516073278">
    <w:abstractNumId w:val="15"/>
  </w:num>
  <w:num w:numId="10" w16cid:durableId="166362395">
    <w:abstractNumId w:val="17"/>
  </w:num>
  <w:num w:numId="11" w16cid:durableId="1358509550">
    <w:abstractNumId w:val="5"/>
  </w:num>
  <w:num w:numId="12" w16cid:durableId="1002783615">
    <w:abstractNumId w:val="13"/>
  </w:num>
  <w:num w:numId="13" w16cid:durableId="1322343892">
    <w:abstractNumId w:val="7"/>
  </w:num>
  <w:num w:numId="14" w16cid:durableId="343702432">
    <w:abstractNumId w:val="3"/>
  </w:num>
  <w:num w:numId="15" w16cid:durableId="312831578">
    <w:abstractNumId w:val="11"/>
  </w:num>
  <w:num w:numId="16" w16cid:durableId="1174565702">
    <w:abstractNumId w:val="23"/>
  </w:num>
  <w:num w:numId="17" w16cid:durableId="600577296">
    <w:abstractNumId w:val="20"/>
  </w:num>
  <w:num w:numId="18" w16cid:durableId="785973349">
    <w:abstractNumId w:val="22"/>
  </w:num>
  <w:num w:numId="19" w16cid:durableId="747918444">
    <w:abstractNumId w:val="12"/>
  </w:num>
  <w:num w:numId="20" w16cid:durableId="1178933326">
    <w:abstractNumId w:val="10"/>
  </w:num>
  <w:num w:numId="21" w16cid:durableId="1910571593">
    <w:abstractNumId w:val="14"/>
  </w:num>
  <w:num w:numId="22" w16cid:durableId="1538589197">
    <w:abstractNumId w:val="1"/>
  </w:num>
  <w:num w:numId="23" w16cid:durableId="1228224100">
    <w:abstractNumId w:val="19"/>
  </w:num>
  <w:num w:numId="24" w16cid:durableId="994146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DocType" w:val="UBS"/>
  </w:docVars>
  <w:rsids>
    <w:rsidRoot w:val="00E60A1D"/>
    <w:rsid w:val="00000C31"/>
    <w:rsid w:val="0000155E"/>
    <w:rsid w:val="000051A6"/>
    <w:rsid w:val="000052DA"/>
    <w:rsid w:val="00006817"/>
    <w:rsid w:val="00012AE5"/>
    <w:rsid w:val="00013CDC"/>
    <w:rsid w:val="00013FE8"/>
    <w:rsid w:val="000157F9"/>
    <w:rsid w:val="00015A75"/>
    <w:rsid w:val="00015F1F"/>
    <w:rsid w:val="00020043"/>
    <w:rsid w:val="00020300"/>
    <w:rsid w:val="00020660"/>
    <w:rsid w:val="000217D2"/>
    <w:rsid w:val="00022E9E"/>
    <w:rsid w:val="000260C9"/>
    <w:rsid w:val="00026EFF"/>
    <w:rsid w:val="00031346"/>
    <w:rsid w:val="000319BC"/>
    <w:rsid w:val="000327FC"/>
    <w:rsid w:val="00033089"/>
    <w:rsid w:val="00034043"/>
    <w:rsid w:val="00035CFB"/>
    <w:rsid w:val="00036AF5"/>
    <w:rsid w:val="00036EBA"/>
    <w:rsid w:val="00040522"/>
    <w:rsid w:val="000407E5"/>
    <w:rsid w:val="000418B7"/>
    <w:rsid w:val="000435DA"/>
    <w:rsid w:val="00045F5D"/>
    <w:rsid w:val="00047139"/>
    <w:rsid w:val="000472AC"/>
    <w:rsid w:val="0004741B"/>
    <w:rsid w:val="00050A2F"/>
    <w:rsid w:val="00050FEC"/>
    <w:rsid w:val="00051D93"/>
    <w:rsid w:val="00052764"/>
    <w:rsid w:val="000541CB"/>
    <w:rsid w:val="00055CF2"/>
    <w:rsid w:val="00057C13"/>
    <w:rsid w:val="00060B8A"/>
    <w:rsid w:val="000625AD"/>
    <w:rsid w:val="00062C88"/>
    <w:rsid w:val="00064808"/>
    <w:rsid w:val="00065A1D"/>
    <w:rsid w:val="000666BB"/>
    <w:rsid w:val="000703B0"/>
    <w:rsid w:val="0007045F"/>
    <w:rsid w:val="000718FA"/>
    <w:rsid w:val="00071EA1"/>
    <w:rsid w:val="000724A9"/>
    <w:rsid w:val="000729B4"/>
    <w:rsid w:val="00072D00"/>
    <w:rsid w:val="0007573F"/>
    <w:rsid w:val="00075A0A"/>
    <w:rsid w:val="00075FA5"/>
    <w:rsid w:val="00076412"/>
    <w:rsid w:val="000769AB"/>
    <w:rsid w:val="00077338"/>
    <w:rsid w:val="00083D85"/>
    <w:rsid w:val="00086B40"/>
    <w:rsid w:val="00087BD5"/>
    <w:rsid w:val="00087F67"/>
    <w:rsid w:val="00091DF3"/>
    <w:rsid w:val="00095805"/>
    <w:rsid w:val="00097E41"/>
    <w:rsid w:val="000A1D0C"/>
    <w:rsid w:val="000A2581"/>
    <w:rsid w:val="000A43CB"/>
    <w:rsid w:val="000A5A43"/>
    <w:rsid w:val="000A7435"/>
    <w:rsid w:val="000B2027"/>
    <w:rsid w:val="000B3941"/>
    <w:rsid w:val="000B4225"/>
    <w:rsid w:val="000B7D39"/>
    <w:rsid w:val="000C0071"/>
    <w:rsid w:val="000C0C13"/>
    <w:rsid w:val="000C0D39"/>
    <w:rsid w:val="000C19A2"/>
    <w:rsid w:val="000C53BB"/>
    <w:rsid w:val="000C572D"/>
    <w:rsid w:val="000C6A1C"/>
    <w:rsid w:val="000C7D07"/>
    <w:rsid w:val="000D0005"/>
    <w:rsid w:val="000D02D7"/>
    <w:rsid w:val="000D0ED9"/>
    <w:rsid w:val="000D3B23"/>
    <w:rsid w:val="000D5406"/>
    <w:rsid w:val="000E13FB"/>
    <w:rsid w:val="000E248B"/>
    <w:rsid w:val="000E392D"/>
    <w:rsid w:val="000E3FBF"/>
    <w:rsid w:val="000E4C84"/>
    <w:rsid w:val="000E5C89"/>
    <w:rsid w:val="000E798A"/>
    <w:rsid w:val="000E7E81"/>
    <w:rsid w:val="000F07BB"/>
    <w:rsid w:val="000F0B50"/>
    <w:rsid w:val="000F17F5"/>
    <w:rsid w:val="000F1AFB"/>
    <w:rsid w:val="000F3FF5"/>
    <w:rsid w:val="000F4DE8"/>
    <w:rsid w:val="0010013E"/>
    <w:rsid w:val="0010092E"/>
    <w:rsid w:val="00104597"/>
    <w:rsid w:val="00106553"/>
    <w:rsid w:val="00106973"/>
    <w:rsid w:val="001073E2"/>
    <w:rsid w:val="0011453D"/>
    <w:rsid w:val="001147AE"/>
    <w:rsid w:val="00117267"/>
    <w:rsid w:val="00117E8F"/>
    <w:rsid w:val="00120E7F"/>
    <w:rsid w:val="00121DFF"/>
    <w:rsid w:val="00126656"/>
    <w:rsid w:val="00130F66"/>
    <w:rsid w:val="00131E0A"/>
    <w:rsid w:val="0013254A"/>
    <w:rsid w:val="001327CB"/>
    <w:rsid w:val="00133B81"/>
    <w:rsid w:val="00134EE2"/>
    <w:rsid w:val="00136F08"/>
    <w:rsid w:val="001420E4"/>
    <w:rsid w:val="001444D7"/>
    <w:rsid w:val="00145CC8"/>
    <w:rsid w:val="00150C73"/>
    <w:rsid w:val="00151F6A"/>
    <w:rsid w:val="001525B1"/>
    <w:rsid w:val="001533E9"/>
    <w:rsid w:val="00156429"/>
    <w:rsid w:val="001569D2"/>
    <w:rsid w:val="001570AA"/>
    <w:rsid w:val="001571A8"/>
    <w:rsid w:val="00162B85"/>
    <w:rsid w:val="00163ACA"/>
    <w:rsid w:val="00164337"/>
    <w:rsid w:val="001645F2"/>
    <w:rsid w:val="00164A8F"/>
    <w:rsid w:val="001651A4"/>
    <w:rsid w:val="001651C3"/>
    <w:rsid w:val="00165B7D"/>
    <w:rsid w:val="001677D0"/>
    <w:rsid w:val="00167FB0"/>
    <w:rsid w:val="0017286C"/>
    <w:rsid w:val="0017402C"/>
    <w:rsid w:val="001747D3"/>
    <w:rsid w:val="001749E6"/>
    <w:rsid w:val="0017514D"/>
    <w:rsid w:val="00175B0C"/>
    <w:rsid w:val="00176ACC"/>
    <w:rsid w:val="001773C7"/>
    <w:rsid w:val="00180066"/>
    <w:rsid w:val="00180D87"/>
    <w:rsid w:val="00184910"/>
    <w:rsid w:val="00185B2A"/>
    <w:rsid w:val="00187D75"/>
    <w:rsid w:val="001911D0"/>
    <w:rsid w:val="00191E98"/>
    <w:rsid w:val="00194658"/>
    <w:rsid w:val="00194C10"/>
    <w:rsid w:val="001A005F"/>
    <w:rsid w:val="001A1DDF"/>
    <w:rsid w:val="001A40A2"/>
    <w:rsid w:val="001A5049"/>
    <w:rsid w:val="001A58FF"/>
    <w:rsid w:val="001A7145"/>
    <w:rsid w:val="001A72AD"/>
    <w:rsid w:val="001B0AFF"/>
    <w:rsid w:val="001B0D42"/>
    <w:rsid w:val="001B25F1"/>
    <w:rsid w:val="001B347F"/>
    <w:rsid w:val="001B35D7"/>
    <w:rsid w:val="001B48C1"/>
    <w:rsid w:val="001B51CC"/>
    <w:rsid w:val="001B723B"/>
    <w:rsid w:val="001B7E68"/>
    <w:rsid w:val="001C02DF"/>
    <w:rsid w:val="001C1AA5"/>
    <w:rsid w:val="001C2CE5"/>
    <w:rsid w:val="001C3655"/>
    <w:rsid w:val="001C601F"/>
    <w:rsid w:val="001C6F7A"/>
    <w:rsid w:val="001C7677"/>
    <w:rsid w:val="001D16BF"/>
    <w:rsid w:val="001D1948"/>
    <w:rsid w:val="001D286E"/>
    <w:rsid w:val="001D41F4"/>
    <w:rsid w:val="001D4227"/>
    <w:rsid w:val="001D45B1"/>
    <w:rsid w:val="001D4649"/>
    <w:rsid w:val="001D6228"/>
    <w:rsid w:val="001D6B82"/>
    <w:rsid w:val="001D731A"/>
    <w:rsid w:val="001D74DB"/>
    <w:rsid w:val="001E23F8"/>
    <w:rsid w:val="001E402C"/>
    <w:rsid w:val="001E40C5"/>
    <w:rsid w:val="001E422F"/>
    <w:rsid w:val="001E6640"/>
    <w:rsid w:val="001E6D78"/>
    <w:rsid w:val="001E78B5"/>
    <w:rsid w:val="001F03D7"/>
    <w:rsid w:val="001F21B0"/>
    <w:rsid w:val="001F3A07"/>
    <w:rsid w:val="001F3AF0"/>
    <w:rsid w:val="001F4F5A"/>
    <w:rsid w:val="001F52E7"/>
    <w:rsid w:val="001F6AFA"/>
    <w:rsid w:val="00202C88"/>
    <w:rsid w:val="00204630"/>
    <w:rsid w:val="002049F7"/>
    <w:rsid w:val="00204D54"/>
    <w:rsid w:val="00205D88"/>
    <w:rsid w:val="002069D4"/>
    <w:rsid w:val="00207A81"/>
    <w:rsid w:val="002114FA"/>
    <w:rsid w:val="002140A4"/>
    <w:rsid w:val="002179D8"/>
    <w:rsid w:val="00217E82"/>
    <w:rsid w:val="00220B95"/>
    <w:rsid w:val="002214DF"/>
    <w:rsid w:val="00222F2F"/>
    <w:rsid w:val="002248CB"/>
    <w:rsid w:val="00225219"/>
    <w:rsid w:val="00225EA4"/>
    <w:rsid w:val="0022685B"/>
    <w:rsid w:val="002268A6"/>
    <w:rsid w:val="00226B57"/>
    <w:rsid w:val="00227243"/>
    <w:rsid w:val="002276A0"/>
    <w:rsid w:val="00230E03"/>
    <w:rsid w:val="00231FD9"/>
    <w:rsid w:val="0023275A"/>
    <w:rsid w:val="00232A05"/>
    <w:rsid w:val="00232A8C"/>
    <w:rsid w:val="0023574F"/>
    <w:rsid w:val="00237E3F"/>
    <w:rsid w:val="00241A2A"/>
    <w:rsid w:val="00242CF9"/>
    <w:rsid w:val="002432D0"/>
    <w:rsid w:val="0024420F"/>
    <w:rsid w:val="002448C1"/>
    <w:rsid w:val="00244D74"/>
    <w:rsid w:val="002479B8"/>
    <w:rsid w:val="00250D39"/>
    <w:rsid w:val="0025254A"/>
    <w:rsid w:val="00257C36"/>
    <w:rsid w:val="00257E7E"/>
    <w:rsid w:val="00260B21"/>
    <w:rsid w:val="0026160D"/>
    <w:rsid w:val="00264BAA"/>
    <w:rsid w:val="00264E62"/>
    <w:rsid w:val="0026705F"/>
    <w:rsid w:val="00270652"/>
    <w:rsid w:val="002722A0"/>
    <w:rsid w:val="002727E0"/>
    <w:rsid w:val="002727EC"/>
    <w:rsid w:val="00274BC7"/>
    <w:rsid w:val="002754A6"/>
    <w:rsid w:val="002755B6"/>
    <w:rsid w:val="00275FAD"/>
    <w:rsid w:val="002763DA"/>
    <w:rsid w:val="00276BCA"/>
    <w:rsid w:val="00276C1D"/>
    <w:rsid w:val="00280B96"/>
    <w:rsid w:val="0028131C"/>
    <w:rsid w:val="00281AB1"/>
    <w:rsid w:val="0028224B"/>
    <w:rsid w:val="002836AB"/>
    <w:rsid w:val="00285DC6"/>
    <w:rsid w:val="00286C64"/>
    <w:rsid w:val="00290BE9"/>
    <w:rsid w:val="00291336"/>
    <w:rsid w:val="00292B2C"/>
    <w:rsid w:val="0029353A"/>
    <w:rsid w:val="00294E93"/>
    <w:rsid w:val="0029746B"/>
    <w:rsid w:val="00297963"/>
    <w:rsid w:val="002A4D4C"/>
    <w:rsid w:val="002A5EF1"/>
    <w:rsid w:val="002A6A90"/>
    <w:rsid w:val="002B0701"/>
    <w:rsid w:val="002B0FC8"/>
    <w:rsid w:val="002B13ED"/>
    <w:rsid w:val="002B162F"/>
    <w:rsid w:val="002B1B25"/>
    <w:rsid w:val="002B249C"/>
    <w:rsid w:val="002B29DF"/>
    <w:rsid w:val="002B3ECB"/>
    <w:rsid w:val="002B44BF"/>
    <w:rsid w:val="002B5FE2"/>
    <w:rsid w:val="002B67B8"/>
    <w:rsid w:val="002C1515"/>
    <w:rsid w:val="002C51D6"/>
    <w:rsid w:val="002C5844"/>
    <w:rsid w:val="002C6157"/>
    <w:rsid w:val="002D16C7"/>
    <w:rsid w:val="002D2DBB"/>
    <w:rsid w:val="002D339F"/>
    <w:rsid w:val="002D38D9"/>
    <w:rsid w:val="002D3B88"/>
    <w:rsid w:val="002D4023"/>
    <w:rsid w:val="002D4773"/>
    <w:rsid w:val="002D6066"/>
    <w:rsid w:val="002D671E"/>
    <w:rsid w:val="002D706B"/>
    <w:rsid w:val="002E0A91"/>
    <w:rsid w:val="002E6039"/>
    <w:rsid w:val="002E6F9A"/>
    <w:rsid w:val="002E732F"/>
    <w:rsid w:val="002E791A"/>
    <w:rsid w:val="002F14C3"/>
    <w:rsid w:val="002F1550"/>
    <w:rsid w:val="002F24D6"/>
    <w:rsid w:val="002F4F38"/>
    <w:rsid w:val="002F580D"/>
    <w:rsid w:val="002F7B29"/>
    <w:rsid w:val="00301701"/>
    <w:rsid w:val="003023AE"/>
    <w:rsid w:val="003028D3"/>
    <w:rsid w:val="00305EC2"/>
    <w:rsid w:val="00310040"/>
    <w:rsid w:val="00310BC0"/>
    <w:rsid w:val="003145F0"/>
    <w:rsid w:val="00314D25"/>
    <w:rsid w:val="00315583"/>
    <w:rsid w:val="003222D6"/>
    <w:rsid w:val="00322893"/>
    <w:rsid w:val="00322B40"/>
    <w:rsid w:val="00323294"/>
    <w:rsid w:val="00323C36"/>
    <w:rsid w:val="00326BA1"/>
    <w:rsid w:val="003305DF"/>
    <w:rsid w:val="003312C5"/>
    <w:rsid w:val="0033174B"/>
    <w:rsid w:val="0033252D"/>
    <w:rsid w:val="0033257D"/>
    <w:rsid w:val="00332596"/>
    <w:rsid w:val="00332F61"/>
    <w:rsid w:val="00336B34"/>
    <w:rsid w:val="00341BCE"/>
    <w:rsid w:val="003433DD"/>
    <w:rsid w:val="00343811"/>
    <w:rsid w:val="003438F9"/>
    <w:rsid w:val="00345CF5"/>
    <w:rsid w:val="00346E3F"/>
    <w:rsid w:val="00351D63"/>
    <w:rsid w:val="0035227D"/>
    <w:rsid w:val="00352E99"/>
    <w:rsid w:val="00353908"/>
    <w:rsid w:val="00353A8E"/>
    <w:rsid w:val="003549BC"/>
    <w:rsid w:val="003549D0"/>
    <w:rsid w:val="00355020"/>
    <w:rsid w:val="00356CDA"/>
    <w:rsid w:val="00357FB3"/>
    <w:rsid w:val="00360E2D"/>
    <w:rsid w:val="003613BC"/>
    <w:rsid w:val="00361742"/>
    <w:rsid w:val="00361C1C"/>
    <w:rsid w:val="00363C4C"/>
    <w:rsid w:val="0036558C"/>
    <w:rsid w:val="00366A71"/>
    <w:rsid w:val="00367EB0"/>
    <w:rsid w:val="00367EC8"/>
    <w:rsid w:val="00370B1A"/>
    <w:rsid w:val="00370B59"/>
    <w:rsid w:val="00372094"/>
    <w:rsid w:val="0037280E"/>
    <w:rsid w:val="00372A54"/>
    <w:rsid w:val="00375700"/>
    <w:rsid w:val="003772D1"/>
    <w:rsid w:val="0038038F"/>
    <w:rsid w:val="00382CEC"/>
    <w:rsid w:val="00384BFF"/>
    <w:rsid w:val="003852B9"/>
    <w:rsid w:val="003876CE"/>
    <w:rsid w:val="0039192F"/>
    <w:rsid w:val="00391A6A"/>
    <w:rsid w:val="00394D57"/>
    <w:rsid w:val="003955BE"/>
    <w:rsid w:val="003957A4"/>
    <w:rsid w:val="003A0829"/>
    <w:rsid w:val="003A0CEC"/>
    <w:rsid w:val="003A1342"/>
    <w:rsid w:val="003A196D"/>
    <w:rsid w:val="003A19BA"/>
    <w:rsid w:val="003A28EE"/>
    <w:rsid w:val="003A4C47"/>
    <w:rsid w:val="003B08BD"/>
    <w:rsid w:val="003B1B4E"/>
    <w:rsid w:val="003B3AAD"/>
    <w:rsid w:val="003B4586"/>
    <w:rsid w:val="003B59E5"/>
    <w:rsid w:val="003B59F9"/>
    <w:rsid w:val="003B5EC8"/>
    <w:rsid w:val="003B5EF7"/>
    <w:rsid w:val="003C491D"/>
    <w:rsid w:val="003C6E9E"/>
    <w:rsid w:val="003C75B3"/>
    <w:rsid w:val="003C76AC"/>
    <w:rsid w:val="003C76C1"/>
    <w:rsid w:val="003C76FE"/>
    <w:rsid w:val="003D0CC7"/>
    <w:rsid w:val="003D1B76"/>
    <w:rsid w:val="003D1C6F"/>
    <w:rsid w:val="003D1C8C"/>
    <w:rsid w:val="003D1D24"/>
    <w:rsid w:val="003D672A"/>
    <w:rsid w:val="003E23B1"/>
    <w:rsid w:val="003E2A81"/>
    <w:rsid w:val="003E703D"/>
    <w:rsid w:val="003E7951"/>
    <w:rsid w:val="003E7C15"/>
    <w:rsid w:val="003F1FB4"/>
    <w:rsid w:val="003F3032"/>
    <w:rsid w:val="003F3759"/>
    <w:rsid w:val="003F461B"/>
    <w:rsid w:val="003F4C27"/>
    <w:rsid w:val="003F5013"/>
    <w:rsid w:val="003F7CED"/>
    <w:rsid w:val="00401904"/>
    <w:rsid w:val="00402E6D"/>
    <w:rsid w:val="00405CB0"/>
    <w:rsid w:val="0041082D"/>
    <w:rsid w:val="00410F5B"/>
    <w:rsid w:val="00411E0D"/>
    <w:rsid w:val="00412EF5"/>
    <w:rsid w:val="00413521"/>
    <w:rsid w:val="00415F3C"/>
    <w:rsid w:val="00416915"/>
    <w:rsid w:val="004224A9"/>
    <w:rsid w:val="004229C2"/>
    <w:rsid w:val="00425858"/>
    <w:rsid w:val="00426166"/>
    <w:rsid w:val="004327FC"/>
    <w:rsid w:val="00433ACC"/>
    <w:rsid w:val="00435A82"/>
    <w:rsid w:val="00435C3D"/>
    <w:rsid w:val="0043658C"/>
    <w:rsid w:val="0044019F"/>
    <w:rsid w:val="00443357"/>
    <w:rsid w:val="00443843"/>
    <w:rsid w:val="004467F2"/>
    <w:rsid w:val="00447A14"/>
    <w:rsid w:val="004514E5"/>
    <w:rsid w:val="0045224F"/>
    <w:rsid w:val="0045246C"/>
    <w:rsid w:val="004524FA"/>
    <w:rsid w:val="00452984"/>
    <w:rsid w:val="00454700"/>
    <w:rsid w:val="0045532F"/>
    <w:rsid w:val="00455822"/>
    <w:rsid w:val="0045582C"/>
    <w:rsid w:val="004559CF"/>
    <w:rsid w:val="00456681"/>
    <w:rsid w:val="00456FE9"/>
    <w:rsid w:val="00457332"/>
    <w:rsid w:val="00457BBD"/>
    <w:rsid w:val="00460773"/>
    <w:rsid w:val="004607D8"/>
    <w:rsid w:val="00460BCF"/>
    <w:rsid w:val="00460BF9"/>
    <w:rsid w:val="00461242"/>
    <w:rsid w:val="00464769"/>
    <w:rsid w:val="00472980"/>
    <w:rsid w:val="00474E85"/>
    <w:rsid w:val="00474FC5"/>
    <w:rsid w:val="00475538"/>
    <w:rsid w:val="004764C9"/>
    <w:rsid w:val="00480A9F"/>
    <w:rsid w:val="0048274E"/>
    <w:rsid w:val="004837D1"/>
    <w:rsid w:val="00484612"/>
    <w:rsid w:val="0048466D"/>
    <w:rsid w:val="004851BD"/>
    <w:rsid w:val="0049069D"/>
    <w:rsid w:val="00490909"/>
    <w:rsid w:val="00492228"/>
    <w:rsid w:val="00492324"/>
    <w:rsid w:val="00494E15"/>
    <w:rsid w:val="00495816"/>
    <w:rsid w:val="00496B35"/>
    <w:rsid w:val="0049781F"/>
    <w:rsid w:val="00497D5E"/>
    <w:rsid w:val="004A04BD"/>
    <w:rsid w:val="004A1773"/>
    <w:rsid w:val="004A3D16"/>
    <w:rsid w:val="004A3D47"/>
    <w:rsid w:val="004A44FE"/>
    <w:rsid w:val="004A5CA7"/>
    <w:rsid w:val="004A6CAB"/>
    <w:rsid w:val="004A6F61"/>
    <w:rsid w:val="004A7F9C"/>
    <w:rsid w:val="004B0288"/>
    <w:rsid w:val="004B0987"/>
    <w:rsid w:val="004B3E85"/>
    <w:rsid w:val="004B4AC1"/>
    <w:rsid w:val="004B4B58"/>
    <w:rsid w:val="004B4D8D"/>
    <w:rsid w:val="004B5E17"/>
    <w:rsid w:val="004B779F"/>
    <w:rsid w:val="004C060A"/>
    <w:rsid w:val="004C51B1"/>
    <w:rsid w:val="004C775E"/>
    <w:rsid w:val="004C7B41"/>
    <w:rsid w:val="004D0E93"/>
    <w:rsid w:val="004D37FA"/>
    <w:rsid w:val="004D3872"/>
    <w:rsid w:val="004D4806"/>
    <w:rsid w:val="004D5D47"/>
    <w:rsid w:val="004D6049"/>
    <w:rsid w:val="004D6AE6"/>
    <w:rsid w:val="004E0743"/>
    <w:rsid w:val="004E07F4"/>
    <w:rsid w:val="004E1262"/>
    <w:rsid w:val="004E15E1"/>
    <w:rsid w:val="004E3E68"/>
    <w:rsid w:val="004E5C2B"/>
    <w:rsid w:val="004E646C"/>
    <w:rsid w:val="004F0841"/>
    <w:rsid w:val="004F34E5"/>
    <w:rsid w:val="004F4DFC"/>
    <w:rsid w:val="004F4E4E"/>
    <w:rsid w:val="004F547E"/>
    <w:rsid w:val="004F606C"/>
    <w:rsid w:val="00501290"/>
    <w:rsid w:val="005033DA"/>
    <w:rsid w:val="00503504"/>
    <w:rsid w:val="0050383C"/>
    <w:rsid w:val="00503A14"/>
    <w:rsid w:val="00504C50"/>
    <w:rsid w:val="00506693"/>
    <w:rsid w:val="005075F1"/>
    <w:rsid w:val="0051151C"/>
    <w:rsid w:val="005117A5"/>
    <w:rsid w:val="00511D50"/>
    <w:rsid w:val="00512073"/>
    <w:rsid w:val="00513A95"/>
    <w:rsid w:val="00514DBC"/>
    <w:rsid w:val="00516271"/>
    <w:rsid w:val="005201C2"/>
    <w:rsid w:val="00520E15"/>
    <w:rsid w:val="00522415"/>
    <w:rsid w:val="0052292C"/>
    <w:rsid w:val="005255AC"/>
    <w:rsid w:val="005259A6"/>
    <w:rsid w:val="005259F1"/>
    <w:rsid w:val="00527374"/>
    <w:rsid w:val="00527945"/>
    <w:rsid w:val="00527F82"/>
    <w:rsid w:val="00531D9C"/>
    <w:rsid w:val="00532774"/>
    <w:rsid w:val="0053376E"/>
    <w:rsid w:val="005352BA"/>
    <w:rsid w:val="00535662"/>
    <w:rsid w:val="00536B55"/>
    <w:rsid w:val="005402B6"/>
    <w:rsid w:val="00540720"/>
    <w:rsid w:val="005414C0"/>
    <w:rsid w:val="00541B8D"/>
    <w:rsid w:val="00542480"/>
    <w:rsid w:val="0054359D"/>
    <w:rsid w:val="005438DD"/>
    <w:rsid w:val="00544B77"/>
    <w:rsid w:val="00544EA5"/>
    <w:rsid w:val="00544FC7"/>
    <w:rsid w:val="005516E1"/>
    <w:rsid w:val="00551B0F"/>
    <w:rsid w:val="00552897"/>
    <w:rsid w:val="00552AEB"/>
    <w:rsid w:val="00553F41"/>
    <w:rsid w:val="0055489B"/>
    <w:rsid w:val="00556131"/>
    <w:rsid w:val="00556FA8"/>
    <w:rsid w:val="00557799"/>
    <w:rsid w:val="00557D42"/>
    <w:rsid w:val="0056168D"/>
    <w:rsid w:val="00561C1E"/>
    <w:rsid w:val="00561EDF"/>
    <w:rsid w:val="005627D7"/>
    <w:rsid w:val="005638B1"/>
    <w:rsid w:val="005653A6"/>
    <w:rsid w:val="005666D0"/>
    <w:rsid w:val="00566893"/>
    <w:rsid w:val="00572208"/>
    <w:rsid w:val="005722BB"/>
    <w:rsid w:val="00572499"/>
    <w:rsid w:val="00574D2B"/>
    <w:rsid w:val="00574EAB"/>
    <w:rsid w:val="005817D9"/>
    <w:rsid w:val="00582218"/>
    <w:rsid w:val="00582235"/>
    <w:rsid w:val="00582E2E"/>
    <w:rsid w:val="00582EF7"/>
    <w:rsid w:val="00584ECB"/>
    <w:rsid w:val="00587E47"/>
    <w:rsid w:val="0059232F"/>
    <w:rsid w:val="0059399F"/>
    <w:rsid w:val="005951FF"/>
    <w:rsid w:val="005961B4"/>
    <w:rsid w:val="005962A2"/>
    <w:rsid w:val="00596688"/>
    <w:rsid w:val="005A1A46"/>
    <w:rsid w:val="005A268E"/>
    <w:rsid w:val="005A2C43"/>
    <w:rsid w:val="005A375E"/>
    <w:rsid w:val="005B1204"/>
    <w:rsid w:val="005B2C57"/>
    <w:rsid w:val="005B3FED"/>
    <w:rsid w:val="005B4DE2"/>
    <w:rsid w:val="005B560C"/>
    <w:rsid w:val="005B6CDF"/>
    <w:rsid w:val="005C02EB"/>
    <w:rsid w:val="005C2698"/>
    <w:rsid w:val="005C26C9"/>
    <w:rsid w:val="005C35D7"/>
    <w:rsid w:val="005C3EFC"/>
    <w:rsid w:val="005C4535"/>
    <w:rsid w:val="005C4B20"/>
    <w:rsid w:val="005C4D99"/>
    <w:rsid w:val="005C6889"/>
    <w:rsid w:val="005C6BAA"/>
    <w:rsid w:val="005D0046"/>
    <w:rsid w:val="005D2D79"/>
    <w:rsid w:val="005D5318"/>
    <w:rsid w:val="005D57FA"/>
    <w:rsid w:val="005D71E7"/>
    <w:rsid w:val="005E1007"/>
    <w:rsid w:val="005E44BC"/>
    <w:rsid w:val="005E5283"/>
    <w:rsid w:val="005E57AF"/>
    <w:rsid w:val="005E5D2F"/>
    <w:rsid w:val="005E637A"/>
    <w:rsid w:val="005E7630"/>
    <w:rsid w:val="005E7BB8"/>
    <w:rsid w:val="005F1807"/>
    <w:rsid w:val="005F1FED"/>
    <w:rsid w:val="005F36EF"/>
    <w:rsid w:val="005F4E3F"/>
    <w:rsid w:val="00600010"/>
    <w:rsid w:val="00601EB3"/>
    <w:rsid w:val="00602646"/>
    <w:rsid w:val="006037F5"/>
    <w:rsid w:val="00605C4B"/>
    <w:rsid w:val="00606336"/>
    <w:rsid w:val="006108EB"/>
    <w:rsid w:val="00610DD1"/>
    <w:rsid w:val="00611E55"/>
    <w:rsid w:val="00612FC7"/>
    <w:rsid w:val="0061431F"/>
    <w:rsid w:val="0061587F"/>
    <w:rsid w:val="006164C4"/>
    <w:rsid w:val="00620CD0"/>
    <w:rsid w:val="00621D2A"/>
    <w:rsid w:val="00622CB8"/>
    <w:rsid w:val="00623C95"/>
    <w:rsid w:val="0062498D"/>
    <w:rsid w:val="00624D85"/>
    <w:rsid w:val="00626537"/>
    <w:rsid w:val="006304C4"/>
    <w:rsid w:val="00631513"/>
    <w:rsid w:val="00631655"/>
    <w:rsid w:val="00632904"/>
    <w:rsid w:val="00632918"/>
    <w:rsid w:val="00632AE7"/>
    <w:rsid w:val="006362A5"/>
    <w:rsid w:val="006363AD"/>
    <w:rsid w:val="00636D74"/>
    <w:rsid w:val="00637D1F"/>
    <w:rsid w:val="006426F1"/>
    <w:rsid w:val="00643B17"/>
    <w:rsid w:val="00647F2D"/>
    <w:rsid w:val="0065024A"/>
    <w:rsid w:val="00651EFD"/>
    <w:rsid w:val="00651F8C"/>
    <w:rsid w:val="006521C9"/>
    <w:rsid w:val="00653294"/>
    <w:rsid w:val="006552B5"/>
    <w:rsid w:val="00655C0A"/>
    <w:rsid w:val="006560E0"/>
    <w:rsid w:val="00656898"/>
    <w:rsid w:val="00656EBD"/>
    <w:rsid w:val="00657A68"/>
    <w:rsid w:val="00660007"/>
    <w:rsid w:val="0066032D"/>
    <w:rsid w:val="00661205"/>
    <w:rsid w:val="006615F7"/>
    <w:rsid w:val="00663349"/>
    <w:rsid w:val="0066388E"/>
    <w:rsid w:val="00664310"/>
    <w:rsid w:val="00664C12"/>
    <w:rsid w:val="00671784"/>
    <w:rsid w:val="00671F25"/>
    <w:rsid w:val="006724EE"/>
    <w:rsid w:val="006724F8"/>
    <w:rsid w:val="006728CF"/>
    <w:rsid w:val="00672CF2"/>
    <w:rsid w:val="00672EB4"/>
    <w:rsid w:val="00673745"/>
    <w:rsid w:val="0067374B"/>
    <w:rsid w:val="0067379F"/>
    <w:rsid w:val="00674746"/>
    <w:rsid w:val="00674F3F"/>
    <w:rsid w:val="00675B51"/>
    <w:rsid w:val="00677467"/>
    <w:rsid w:val="00680599"/>
    <w:rsid w:val="006826ED"/>
    <w:rsid w:val="00682A5C"/>
    <w:rsid w:val="0068402A"/>
    <w:rsid w:val="006847AA"/>
    <w:rsid w:val="00684D87"/>
    <w:rsid w:val="00685253"/>
    <w:rsid w:val="006867B2"/>
    <w:rsid w:val="00687A44"/>
    <w:rsid w:val="006902E0"/>
    <w:rsid w:val="00690C93"/>
    <w:rsid w:val="00691C2A"/>
    <w:rsid w:val="006936A5"/>
    <w:rsid w:val="0069449A"/>
    <w:rsid w:val="006946A0"/>
    <w:rsid w:val="00694D4C"/>
    <w:rsid w:val="006956B3"/>
    <w:rsid w:val="00695EBF"/>
    <w:rsid w:val="006966DB"/>
    <w:rsid w:val="00696F11"/>
    <w:rsid w:val="00697367"/>
    <w:rsid w:val="00697D0D"/>
    <w:rsid w:val="006A2AB8"/>
    <w:rsid w:val="006A318D"/>
    <w:rsid w:val="006A3740"/>
    <w:rsid w:val="006A6457"/>
    <w:rsid w:val="006A6CB2"/>
    <w:rsid w:val="006B08B8"/>
    <w:rsid w:val="006B13C0"/>
    <w:rsid w:val="006B1458"/>
    <w:rsid w:val="006B183A"/>
    <w:rsid w:val="006B1945"/>
    <w:rsid w:val="006B3529"/>
    <w:rsid w:val="006B5285"/>
    <w:rsid w:val="006B5319"/>
    <w:rsid w:val="006B54A8"/>
    <w:rsid w:val="006B7C1D"/>
    <w:rsid w:val="006C0609"/>
    <w:rsid w:val="006C29E0"/>
    <w:rsid w:val="006C2CFA"/>
    <w:rsid w:val="006C2ECD"/>
    <w:rsid w:val="006C30B0"/>
    <w:rsid w:val="006C36E5"/>
    <w:rsid w:val="006C3C8F"/>
    <w:rsid w:val="006C651D"/>
    <w:rsid w:val="006C76AF"/>
    <w:rsid w:val="006C7FD5"/>
    <w:rsid w:val="006D078D"/>
    <w:rsid w:val="006D1690"/>
    <w:rsid w:val="006D43A3"/>
    <w:rsid w:val="006D45CA"/>
    <w:rsid w:val="006E09E2"/>
    <w:rsid w:val="006E0DEC"/>
    <w:rsid w:val="006E192B"/>
    <w:rsid w:val="006E1D6C"/>
    <w:rsid w:val="006E2946"/>
    <w:rsid w:val="006E3E9D"/>
    <w:rsid w:val="006E4416"/>
    <w:rsid w:val="006E6477"/>
    <w:rsid w:val="006E647C"/>
    <w:rsid w:val="006E738F"/>
    <w:rsid w:val="006E7EA2"/>
    <w:rsid w:val="006F0012"/>
    <w:rsid w:val="006F1B40"/>
    <w:rsid w:val="006F4644"/>
    <w:rsid w:val="006F473C"/>
    <w:rsid w:val="006F565F"/>
    <w:rsid w:val="006F6262"/>
    <w:rsid w:val="00701178"/>
    <w:rsid w:val="00701960"/>
    <w:rsid w:val="007058E2"/>
    <w:rsid w:val="00705CB1"/>
    <w:rsid w:val="00705F83"/>
    <w:rsid w:val="00710C36"/>
    <w:rsid w:val="00711EEA"/>
    <w:rsid w:val="00711F73"/>
    <w:rsid w:val="00712B05"/>
    <w:rsid w:val="00715FB4"/>
    <w:rsid w:val="00720283"/>
    <w:rsid w:val="00722A61"/>
    <w:rsid w:val="00725320"/>
    <w:rsid w:val="0073046B"/>
    <w:rsid w:val="007320B6"/>
    <w:rsid w:val="00734C3E"/>
    <w:rsid w:val="00734E51"/>
    <w:rsid w:val="00735346"/>
    <w:rsid w:val="00737091"/>
    <w:rsid w:val="007379F6"/>
    <w:rsid w:val="00741297"/>
    <w:rsid w:val="00741A7E"/>
    <w:rsid w:val="00742B50"/>
    <w:rsid w:val="00744298"/>
    <w:rsid w:val="0074475B"/>
    <w:rsid w:val="00746243"/>
    <w:rsid w:val="00747A52"/>
    <w:rsid w:val="007522C5"/>
    <w:rsid w:val="00752514"/>
    <w:rsid w:val="00753196"/>
    <w:rsid w:val="00753F37"/>
    <w:rsid w:val="00754138"/>
    <w:rsid w:val="00756BF1"/>
    <w:rsid w:val="00757A49"/>
    <w:rsid w:val="007619D0"/>
    <w:rsid w:val="00764B5A"/>
    <w:rsid w:val="00765E41"/>
    <w:rsid w:val="00767681"/>
    <w:rsid w:val="00767721"/>
    <w:rsid w:val="007705AB"/>
    <w:rsid w:val="00771673"/>
    <w:rsid w:val="00771F90"/>
    <w:rsid w:val="00772A5E"/>
    <w:rsid w:val="00772ED1"/>
    <w:rsid w:val="007732EF"/>
    <w:rsid w:val="00774570"/>
    <w:rsid w:val="00776B25"/>
    <w:rsid w:val="00776B37"/>
    <w:rsid w:val="00777456"/>
    <w:rsid w:val="00777D39"/>
    <w:rsid w:val="00780576"/>
    <w:rsid w:val="00786B6E"/>
    <w:rsid w:val="0079140E"/>
    <w:rsid w:val="0079160B"/>
    <w:rsid w:val="00791A16"/>
    <w:rsid w:val="00792CBB"/>
    <w:rsid w:val="00793A2B"/>
    <w:rsid w:val="00793C9A"/>
    <w:rsid w:val="00794BCA"/>
    <w:rsid w:val="00796D0E"/>
    <w:rsid w:val="007A1611"/>
    <w:rsid w:val="007A40A0"/>
    <w:rsid w:val="007A5F81"/>
    <w:rsid w:val="007B15B4"/>
    <w:rsid w:val="007B38E7"/>
    <w:rsid w:val="007B3D3F"/>
    <w:rsid w:val="007B4E5F"/>
    <w:rsid w:val="007B6A8A"/>
    <w:rsid w:val="007B6C9A"/>
    <w:rsid w:val="007B7EF5"/>
    <w:rsid w:val="007C0536"/>
    <w:rsid w:val="007C1C9D"/>
    <w:rsid w:val="007C43D6"/>
    <w:rsid w:val="007C5A07"/>
    <w:rsid w:val="007C7245"/>
    <w:rsid w:val="007C7C92"/>
    <w:rsid w:val="007D0735"/>
    <w:rsid w:val="007D4557"/>
    <w:rsid w:val="007D48AA"/>
    <w:rsid w:val="007D584A"/>
    <w:rsid w:val="007D6C73"/>
    <w:rsid w:val="007D7D47"/>
    <w:rsid w:val="007E2ECD"/>
    <w:rsid w:val="007E4BCB"/>
    <w:rsid w:val="007E5376"/>
    <w:rsid w:val="007E540A"/>
    <w:rsid w:val="007E6883"/>
    <w:rsid w:val="007E6FC4"/>
    <w:rsid w:val="007F0BC9"/>
    <w:rsid w:val="007F15DA"/>
    <w:rsid w:val="008032C2"/>
    <w:rsid w:val="00803544"/>
    <w:rsid w:val="00805720"/>
    <w:rsid w:val="0081053D"/>
    <w:rsid w:val="0081160B"/>
    <w:rsid w:val="00812027"/>
    <w:rsid w:val="008140DE"/>
    <w:rsid w:val="0081434F"/>
    <w:rsid w:val="00815A80"/>
    <w:rsid w:val="00816111"/>
    <w:rsid w:val="00821930"/>
    <w:rsid w:val="00821F9B"/>
    <w:rsid w:val="00823075"/>
    <w:rsid w:val="00823BD5"/>
    <w:rsid w:val="00824E1B"/>
    <w:rsid w:val="00825FA0"/>
    <w:rsid w:val="00826546"/>
    <w:rsid w:val="00827B4F"/>
    <w:rsid w:val="00827D39"/>
    <w:rsid w:val="00827F41"/>
    <w:rsid w:val="00830F48"/>
    <w:rsid w:val="008317C3"/>
    <w:rsid w:val="00832825"/>
    <w:rsid w:val="008332B1"/>
    <w:rsid w:val="00836691"/>
    <w:rsid w:val="00837825"/>
    <w:rsid w:val="0084027A"/>
    <w:rsid w:val="00840E80"/>
    <w:rsid w:val="00841F9E"/>
    <w:rsid w:val="008423AD"/>
    <w:rsid w:val="00842668"/>
    <w:rsid w:val="00842D27"/>
    <w:rsid w:val="00843C7B"/>
    <w:rsid w:val="00845B9F"/>
    <w:rsid w:val="00850FC3"/>
    <w:rsid w:val="00853AEA"/>
    <w:rsid w:val="008544D3"/>
    <w:rsid w:val="00855CB1"/>
    <w:rsid w:val="00856A7C"/>
    <w:rsid w:val="00856AB4"/>
    <w:rsid w:val="00857462"/>
    <w:rsid w:val="008615AE"/>
    <w:rsid w:val="00861C30"/>
    <w:rsid w:val="008626C2"/>
    <w:rsid w:val="00862E06"/>
    <w:rsid w:val="00863B55"/>
    <w:rsid w:val="0086557A"/>
    <w:rsid w:val="00865751"/>
    <w:rsid w:val="00865D82"/>
    <w:rsid w:val="0087045B"/>
    <w:rsid w:val="00870605"/>
    <w:rsid w:val="0087079D"/>
    <w:rsid w:val="00872225"/>
    <w:rsid w:val="00873964"/>
    <w:rsid w:val="00873E2D"/>
    <w:rsid w:val="00874B2E"/>
    <w:rsid w:val="00874C56"/>
    <w:rsid w:val="00875F2D"/>
    <w:rsid w:val="0087702F"/>
    <w:rsid w:val="0087787A"/>
    <w:rsid w:val="00877CF8"/>
    <w:rsid w:val="008811D8"/>
    <w:rsid w:val="008813CD"/>
    <w:rsid w:val="008828FD"/>
    <w:rsid w:val="00883085"/>
    <w:rsid w:val="00883B2D"/>
    <w:rsid w:val="008847FC"/>
    <w:rsid w:val="00884BBE"/>
    <w:rsid w:val="00886CC3"/>
    <w:rsid w:val="00886F6A"/>
    <w:rsid w:val="00890262"/>
    <w:rsid w:val="00892E47"/>
    <w:rsid w:val="00893E27"/>
    <w:rsid w:val="00893FBB"/>
    <w:rsid w:val="00893FED"/>
    <w:rsid w:val="008958CB"/>
    <w:rsid w:val="00897FCA"/>
    <w:rsid w:val="008A0459"/>
    <w:rsid w:val="008A2301"/>
    <w:rsid w:val="008A2DBE"/>
    <w:rsid w:val="008A4139"/>
    <w:rsid w:val="008A6049"/>
    <w:rsid w:val="008A6D2D"/>
    <w:rsid w:val="008B1A2D"/>
    <w:rsid w:val="008B3B38"/>
    <w:rsid w:val="008B48A9"/>
    <w:rsid w:val="008B4D6E"/>
    <w:rsid w:val="008B58C5"/>
    <w:rsid w:val="008B5926"/>
    <w:rsid w:val="008B650C"/>
    <w:rsid w:val="008B6650"/>
    <w:rsid w:val="008B7095"/>
    <w:rsid w:val="008B75AA"/>
    <w:rsid w:val="008B7E8E"/>
    <w:rsid w:val="008C06C8"/>
    <w:rsid w:val="008C11C5"/>
    <w:rsid w:val="008C42AD"/>
    <w:rsid w:val="008C52C3"/>
    <w:rsid w:val="008C6E5F"/>
    <w:rsid w:val="008C755B"/>
    <w:rsid w:val="008D2DDF"/>
    <w:rsid w:val="008D425E"/>
    <w:rsid w:val="008D4412"/>
    <w:rsid w:val="008D509E"/>
    <w:rsid w:val="008D5F29"/>
    <w:rsid w:val="008D608A"/>
    <w:rsid w:val="008D6806"/>
    <w:rsid w:val="008D6A55"/>
    <w:rsid w:val="008D7CC0"/>
    <w:rsid w:val="008D7FE4"/>
    <w:rsid w:val="008E0547"/>
    <w:rsid w:val="008E07AF"/>
    <w:rsid w:val="008E3CD8"/>
    <w:rsid w:val="008E43FE"/>
    <w:rsid w:val="008E4CFE"/>
    <w:rsid w:val="008E5AA8"/>
    <w:rsid w:val="008E623D"/>
    <w:rsid w:val="008E6ADD"/>
    <w:rsid w:val="008E6E06"/>
    <w:rsid w:val="008E78CA"/>
    <w:rsid w:val="008F0B2A"/>
    <w:rsid w:val="008F1714"/>
    <w:rsid w:val="008F21C9"/>
    <w:rsid w:val="008F2419"/>
    <w:rsid w:val="008F460D"/>
    <w:rsid w:val="008F5443"/>
    <w:rsid w:val="008F5682"/>
    <w:rsid w:val="008F7AA4"/>
    <w:rsid w:val="009028F9"/>
    <w:rsid w:val="009036B0"/>
    <w:rsid w:val="009037EE"/>
    <w:rsid w:val="00904003"/>
    <w:rsid w:val="00905351"/>
    <w:rsid w:val="00905DD4"/>
    <w:rsid w:val="00907770"/>
    <w:rsid w:val="00907ADD"/>
    <w:rsid w:val="009101C7"/>
    <w:rsid w:val="00910533"/>
    <w:rsid w:val="00911CA7"/>
    <w:rsid w:val="00912777"/>
    <w:rsid w:val="00913404"/>
    <w:rsid w:val="009173EF"/>
    <w:rsid w:val="00917463"/>
    <w:rsid w:val="00917A97"/>
    <w:rsid w:val="009214C8"/>
    <w:rsid w:val="00921C56"/>
    <w:rsid w:val="00922209"/>
    <w:rsid w:val="00927FF0"/>
    <w:rsid w:val="009306E0"/>
    <w:rsid w:val="00930965"/>
    <w:rsid w:val="00931AB7"/>
    <w:rsid w:val="00932510"/>
    <w:rsid w:val="009330A2"/>
    <w:rsid w:val="009334CA"/>
    <w:rsid w:val="00935B3F"/>
    <w:rsid w:val="0093695E"/>
    <w:rsid w:val="00937C53"/>
    <w:rsid w:val="00943ACF"/>
    <w:rsid w:val="009443B7"/>
    <w:rsid w:val="00944855"/>
    <w:rsid w:val="009472CE"/>
    <w:rsid w:val="00947398"/>
    <w:rsid w:val="0094798D"/>
    <w:rsid w:val="00947E43"/>
    <w:rsid w:val="00951204"/>
    <w:rsid w:val="0095358F"/>
    <w:rsid w:val="009569E3"/>
    <w:rsid w:val="00957247"/>
    <w:rsid w:val="00957C8D"/>
    <w:rsid w:val="00960A74"/>
    <w:rsid w:val="00962330"/>
    <w:rsid w:val="009630A4"/>
    <w:rsid w:val="00963FA1"/>
    <w:rsid w:val="00964373"/>
    <w:rsid w:val="009649A3"/>
    <w:rsid w:val="00964BE4"/>
    <w:rsid w:val="009657E7"/>
    <w:rsid w:val="009663B9"/>
    <w:rsid w:val="00967ACA"/>
    <w:rsid w:val="0097003F"/>
    <w:rsid w:val="00973045"/>
    <w:rsid w:val="009755DD"/>
    <w:rsid w:val="00976E38"/>
    <w:rsid w:val="009809EB"/>
    <w:rsid w:val="00980EAC"/>
    <w:rsid w:val="00981555"/>
    <w:rsid w:val="00981A5A"/>
    <w:rsid w:val="00986CCE"/>
    <w:rsid w:val="009934DF"/>
    <w:rsid w:val="00993BE5"/>
    <w:rsid w:val="00995EB9"/>
    <w:rsid w:val="009971B3"/>
    <w:rsid w:val="00997A9B"/>
    <w:rsid w:val="009A2B06"/>
    <w:rsid w:val="009A39AA"/>
    <w:rsid w:val="009A5D24"/>
    <w:rsid w:val="009A603E"/>
    <w:rsid w:val="009A6384"/>
    <w:rsid w:val="009A64A6"/>
    <w:rsid w:val="009A6B09"/>
    <w:rsid w:val="009B001C"/>
    <w:rsid w:val="009B2226"/>
    <w:rsid w:val="009B4116"/>
    <w:rsid w:val="009B6014"/>
    <w:rsid w:val="009C07AF"/>
    <w:rsid w:val="009C0F41"/>
    <w:rsid w:val="009C5683"/>
    <w:rsid w:val="009D15F3"/>
    <w:rsid w:val="009D6E06"/>
    <w:rsid w:val="009D7503"/>
    <w:rsid w:val="009D7D1E"/>
    <w:rsid w:val="009E3B75"/>
    <w:rsid w:val="009E46CA"/>
    <w:rsid w:val="009E55C4"/>
    <w:rsid w:val="009E57A0"/>
    <w:rsid w:val="009E5898"/>
    <w:rsid w:val="009E7DC9"/>
    <w:rsid w:val="009F3195"/>
    <w:rsid w:val="009F5C3A"/>
    <w:rsid w:val="009F5E47"/>
    <w:rsid w:val="00A00635"/>
    <w:rsid w:val="00A0067D"/>
    <w:rsid w:val="00A00BCA"/>
    <w:rsid w:val="00A02BA1"/>
    <w:rsid w:val="00A0406B"/>
    <w:rsid w:val="00A04973"/>
    <w:rsid w:val="00A06F70"/>
    <w:rsid w:val="00A07F02"/>
    <w:rsid w:val="00A11D31"/>
    <w:rsid w:val="00A122D7"/>
    <w:rsid w:val="00A127E4"/>
    <w:rsid w:val="00A1304E"/>
    <w:rsid w:val="00A144D0"/>
    <w:rsid w:val="00A15399"/>
    <w:rsid w:val="00A156E7"/>
    <w:rsid w:val="00A16FDF"/>
    <w:rsid w:val="00A17F34"/>
    <w:rsid w:val="00A20934"/>
    <w:rsid w:val="00A2329F"/>
    <w:rsid w:val="00A2685D"/>
    <w:rsid w:val="00A26E4C"/>
    <w:rsid w:val="00A275BE"/>
    <w:rsid w:val="00A30BE4"/>
    <w:rsid w:val="00A329FD"/>
    <w:rsid w:val="00A33414"/>
    <w:rsid w:val="00A3467C"/>
    <w:rsid w:val="00A34828"/>
    <w:rsid w:val="00A349E9"/>
    <w:rsid w:val="00A3539D"/>
    <w:rsid w:val="00A35B68"/>
    <w:rsid w:val="00A36B47"/>
    <w:rsid w:val="00A416BC"/>
    <w:rsid w:val="00A41D1D"/>
    <w:rsid w:val="00A42973"/>
    <w:rsid w:val="00A44C7A"/>
    <w:rsid w:val="00A468BA"/>
    <w:rsid w:val="00A503F2"/>
    <w:rsid w:val="00A51E08"/>
    <w:rsid w:val="00A609DE"/>
    <w:rsid w:val="00A60EB7"/>
    <w:rsid w:val="00A62A48"/>
    <w:rsid w:val="00A6336A"/>
    <w:rsid w:val="00A6402A"/>
    <w:rsid w:val="00A64967"/>
    <w:rsid w:val="00A67306"/>
    <w:rsid w:val="00A70715"/>
    <w:rsid w:val="00A70D08"/>
    <w:rsid w:val="00A7143D"/>
    <w:rsid w:val="00A71B40"/>
    <w:rsid w:val="00A72B79"/>
    <w:rsid w:val="00A72D9A"/>
    <w:rsid w:val="00A73D6B"/>
    <w:rsid w:val="00A74D63"/>
    <w:rsid w:val="00A751CA"/>
    <w:rsid w:val="00A77230"/>
    <w:rsid w:val="00A774BF"/>
    <w:rsid w:val="00A77D06"/>
    <w:rsid w:val="00A819E0"/>
    <w:rsid w:val="00A831C1"/>
    <w:rsid w:val="00A86F88"/>
    <w:rsid w:val="00A90E96"/>
    <w:rsid w:val="00A90F49"/>
    <w:rsid w:val="00A913A5"/>
    <w:rsid w:val="00A916B5"/>
    <w:rsid w:val="00A917AB"/>
    <w:rsid w:val="00A9199F"/>
    <w:rsid w:val="00A926F7"/>
    <w:rsid w:val="00A9384C"/>
    <w:rsid w:val="00A95BD3"/>
    <w:rsid w:val="00A976CE"/>
    <w:rsid w:val="00A979D7"/>
    <w:rsid w:val="00AA01EA"/>
    <w:rsid w:val="00AA30AD"/>
    <w:rsid w:val="00AA3439"/>
    <w:rsid w:val="00AA3965"/>
    <w:rsid w:val="00AA5134"/>
    <w:rsid w:val="00AA611D"/>
    <w:rsid w:val="00AA64AB"/>
    <w:rsid w:val="00AA77CF"/>
    <w:rsid w:val="00AB0503"/>
    <w:rsid w:val="00AB1BC8"/>
    <w:rsid w:val="00AB2B90"/>
    <w:rsid w:val="00AB2F7A"/>
    <w:rsid w:val="00AB3345"/>
    <w:rsid w:val="00AB3B38"/>
    <w:rsid w:val="00AB7BBA"/>
    <w:rsid w:val="00AC1317"/>
    <w:rsid w:val="00AC34D3"/>
    <w:rsid w:val="00AC3502"/>
    <w:rsid w:val="00AC54E4"/>
    <w:rsid w:val="00AC60EF"/>
    <w:rsid w:val="00AC6CFC"/>
    <w:rsid w:val="00AD06ED"/>
    <w:rsid w:val="00AD2BEA"/>
    <w:rsid w:val="00AD3E9A"/>
    <w:rsid w:val="00AD71DE"/>
    <w:rsid w:val="00AD75AF"/>
    <w:rsid w:val="00AE0467"/>
    <w:rsid w:val="00AE2137"/>
    <w:rsid w:val="00AE2745"/>
    <w:rsid w:val="00AE4DC0"/>
    <w:rsid w:val="00AE6301"/>
    <w:rsid w:val="00AE6D22"/>
    <w:rsid w:val="00AE7152"/>
    <w:rsid w:val="00AF0CEE"/>
    <w:rsid w:val="00AF2464"/>
    <w:rsid w:val="00AF254D"/>
    <w:rsid w:val="00AF41E8"/>
    <w:rsid w:val="00AF59A4"/>
    <w:rsid w:val="00B0190B"/>
    <w:rsid w:val="00B01ADE"/>
    <w:rsid w:val="00B032D4"/>
    <w:rsid w:val="00B03596"/>
    <w:rsid w:val="00B03994"/>
    <w:rsid w:val="00B03C7C"/>
    <w:rsid w:val="00B04897"/>
    <w:rsid w:val="00B055FE"/>
    <w:rsid w:val="00B078BD"/>
    <w:rsid w:val="00B07AA5"/>
    <w:rsid w:val="00B10516"/>
    <w:rsid w:val="00B10A74"/>
    <w:rsid w:val="00B10A8F"/>
    <w:rsid w:val="00B1138A"/>
    <w:rsid w:val="00B115EC"/>
    <w:rsid w:val="00B126C5"/>
    <w:rsid w:val="00B13073"/>
    <w:rsid w:val="00B15BAC"/>
    <w:rsid w:val="00B1668E"/>
    <w:rsid w:val="00B16798"/>
    <w:rsid w:val="00B16FDE"/>
    <w:rsid w:val="00B1776C"/>
    <w:rsid w:val="00B2014E"/>
    <w:rsid w:val="00B206C3"/>
    <w:rsid w:val="00B21AE2"/>
    <w:rsid w:val="00B22455"/>
    <w:rsid w:val="00B24C42"/>
    <w:rsid w:val="00B24C6F"/>
    <w:rsid w:val="00B253B5"/>
    <w:rsid w:val="00B27379"/>
    <w:rsid w:val="00B3204F"/>
    <w:rsid w:val="00B35A91"/>
    <w:rsid w:val="00B37AE7"/>
    <w:rsid w:val="00B37F0D"/>
    <w:rsid w:val="00B4069D"/>
    <w:rsid w:val="00B41642"/>
    <w:rsid w:val="00B41719"/>
    <w:rsid w:val="00B41B1F"/>
    <w:rsid w:val="00B443B2"/>
    <w:rsid w:val="00B44737"/>
    <w:rsid w:val="00B44D31"/>
    <w:rsid w:val="00B45B60"/>
    <w:rsid w:val="00B504E3"/>
    <w:rsid w:val="00B51D40"/>
    <w:rsid w:val="00B51EF8"/>
    <w:rsid w:val="00B54EBF"/>
    <w:rsid w:val="00B60D2A"/>
    <w:rsid w:val="00B610DD"/>
    <w:rsid w:val="00B6247C"/>
    <w:rsid w:val="00B62E7B"/>
    <w:rsid w:val="00B65FEB"/>
    <w:rsid w:val="00B66AF2"/>
    <w:rsid w:val="00B66F49"/>
    <w:rsid w:val="00B7065E"/>
    <w:rsid w:val="00B72357"/>
    <w:rsid w:val="00B756C7"/>
    <w:rsid w:val="00B76B0D"/>
    <w:rsid w:val="00B77063"/>
    <w:rsid w:val="00B77482"/>
    <w:rsid w:val="00B77A26"/>
    <w:rsid w:val="00B80E16"/>
    <w:rsid w:val="00B825C9"/>
    <w:rsid w:val="00B83270"/>
    <w:rsid w:val="00B850C0"/>
    <w:rsid w:val="00B862D5"/>
    <w:rsid w:val="00B865E4"/>
    <w:rsid w:val="00B91185"/>
    <w:rsid w:val="00B926D5"/>
    <w:rsid w:val="00B93D97"/>
    <w:rsid w:val="00B9440D"/>
    <w:rsid w:val="00B9482B"/>
    <w:rsid w:val="00B96481"/>
    <w:rsid w:val="00B96677"/>
    <w:rsid w:val="00B9742E"/>
    <w:rsid w:val="00BA11EB"/>
    <w:rsid w:val="00BA14B8"/>
    <w:rsid w:val="00BA42B9"/>
    <w:rsid w:val="00BB0122"/>
    <w:rsid w:val="00BB1DFF"/>
    <w:rsid w:val="00BB2E40"/>
    <w:rsid w:val="00BB687F"/>
    <w:rsid w:val="00BB68A7"/>
    <w:rsid w:val="00BB77E7"/>
    <w:rsid w:val="00BC1447"/>
    <w:rsid w:val="00BC1893"/>
    <w:rsid w:val="00BC26CC"/>
    <w:rsid w:val="00BC2E71"/>
    <w:rsid w:val="00BC30BD"/>
    <w:rsid w:val="00BC3664"/>
    <w:rsid w:val="00BC46AA"/>
    <w:rsid w:val="00BC482E"/>
    <w:rsid w:val="00BC4912"/>
    <w:rsid w:val="00BC5649"/>
    <w:rsid w:val="00BC6CA6"/>
    <w:rsid w:val="00BC7290"/>
    <w:rsid w:val="00BC759B"/>
    <w:rsid w:val="00BD0E41"/>
    <w:rsid w:val="00BD18BA"/>
    <w:rsid w:val="00BD35DE"/>
    <w:rsid w:val="00BD3FED"/>
    <w:rsid w:val="00BD4866"/>
    <w:rsid w:val="00BD7EC8"/>
    <w:rsid w:val="00BE02B1"/>
    <w:rsid w:val="00BE1F01"/>
    <w:rsid w:val="00BE2FA5"/>
    <w:rsid w:val="00BE3CD7"/>
    <w:rsid w:val="00BE462B"/>
    <w:rsid w:val="00BE493D"/>
    <w:rsid w:val="00BE5274"/>
    <w:rsid w:val="00BE618A"/>
    <w:rsid w:val="00BE6719"/>
    <w:rsid w:val="00BF2D1E"/>
    <w:rsid w:val="00BF48C6"/>
    <w:rsid w:val="00BF4FF7"/>
    <w:rsid w:val="00BF58FA"/>
    <w:rsid w:val="00C00D3C"/>
    <w:rsid w:val="00C0436B"/>
    <w:rsid w:val="00C053B7"/>
    <w:rsid w:val="00C056A8"/>
    <w:rsid w:val="00C06113"/>
    <w:rsid w:val="00C06352"/>
    <w:rsid w:val="00C073B0"/>
    <w:rsid w:val="00C0755C"/>
    <w:rsid w:val="00C1084E"/>
    <w:rsid w:val="00C11D1A"/>
    <w:rsid w:val="00C12026"/>
    <w:rsid w:val="00C12541"/>
    <w:rsid w:val="00C14007"/>
    <w:rsid w:val="00C14D2A"/>
    <w:rsid w:val="00C179C2"/>
    <w:rsid w:val="00C22427"/>
    <w:rsid w:val="00C25518"/>
    <w:rsid w:val="00C259C3"/>
    <w:rsid w:val="00C26588"/>
    <w:rsid w:val="00C27864"/>
    <w:rsid w:val="00C3076C"/>
    <w:rsid w:val="00C31200"/>
    <w:rsid w:val="00C32AC0"/>
    <w:rsid w:val="00C32CBB"/>
    <w:rsid w:val="00C41071"/>
    <w:rsid w:val="00C42515"/>
    <w:rsid w:val="00C43048"/>
    <w:rsid w:val="00C43156"/>
    <w:rsid w:val="00C4614A"/>
    <w:rsid w:val="00C46AC0"/>
    <w:rsid w:val="00C47BFC"/>
    <w:rsid w:val="00C5097C"/>
    <w:rsid w:val="00C51944"/>
    <w:rsid w:val="00C52863"/>
    <w:rsid w:val="00C52EA3"/>
    <w:rsid w:val="00C53A68"/>
    <w:rsid w:val="00C53D5D"/>
    <w:rsid w:val="00C55229"/>
    <w:rsid w:val="00C554B1"/>
    <w:rsid w:val="00C55CA6"/>
    <w:rsid w:val="00C6170C"/>
    <w:rsid w:val="00C61D3A"/>
    <w:rsid w:val="00C65EEA"/>
    <w:rsid w:val="00C6736D"/>
    <w:rsid w:val="00C71D8C"/>
    <w:rsid w:val="00C71F4D"/>
    <w:rsid w:val="00C72A30"/>
    <w:rsid w:val="00C74759"/>
    <w:rsid w:val="00C76872"/>
    <w:rsid w:val="00C76E65"/>
    <w:rsid w:val="00C77269"/>
    <w:rsid w:val="00C804F7"/>
    <w:rsid w:val="00C82753"/>
    <w:rsid w:val="00C8337C"/>
    <w:rsid w:val="00C83A08"/>
    <w:rsid w:val="00C85851"/>
    <w:rsid w:val="00C909EB"/>
    <w:rsid w:val="00C91B30"/>
    <w:rsid w:val="00C91F2E"/>
    <w:rsid w:val="00C95C9C"/>
    <w:rsid w:val="00C97A9E"/>
    <w:rsid w:val="00CA0BE0"/>
    <w:rsid w:val="00CA1D4C"/>
    <w:rsid w:val="00CA43C1"/>
    <w:rsid w:val="00CA464D"/>
    <w:rsid w:val="00CA4D55"/>
    <w:rsid w:val="00CA57CF"/>
    <w:rsid w:val="00CA59A2"/>
    <w:rsid w:val="00CA5CD4"/>
    <w:rsid w:val="00CB2F78"/>
    <w:rsid w:val="00CB3870"/>
    <w:rsid w:val="00CC05AA"/>
    <w:rsid w:val="00CC1D99"/>
    <w:rsid w:val="00CC4918"/>
    <w:rsid w:val="00CC51B9"/>
    <w:rsid w:val="00CC55F5"/>
    <w:rsid w:val="00CC7D86"/>
    <w:rsid w:val="00CD0912"/>
    <w:rsid w:val="00CD20B4"/>
    <w:rsid w:val="00CD20FD"/>
    <w:rsid w:val="00CD2566"/>
    <w:rsid w:val="00CD4FB1"/>
    <w:rsid w:val="00CD6A7E"/>
    <w:rsid w:val="00CD7164"/>
    <w:rsid w:val="00CE26F3"/>
    <w:rsid w:val="00CE2AB1"/>
    <w:rsid w:val="00CE30DC"/>
    <w:rsid w:val="00CE375D"/>
    <w:rsid w:val="00CE476E"/>
    <w:rsid w:val="00CE47EB"/>
    <w:rsid w:val="00CF046F"/>
    <w:rsid w:val="00CF1B9E"/>
    <w:rsid w:val="00CF3A1B"/>
    <w:rsid w:val="00CF4CE3"/>
    <w:rsid w:val="00CF52A2"/>
    <w:rsid w:val="00CF54AD"/>
    <w:rsid w:val="00CF5FB8"/>
    <w:rsid w:val="00CF7DBE"/>
    <w:rsid w:val="00D00F5F"/>
    <w:rsid w:val="00D01252"/>
    <w:rsid w:val="00D0320D"/>
    <w:rsid w:val="00D03A4D"/>
    <w:rsid w:val="00D04665"/>
    <w:rsid w:val="00D076B4"/>
    <w:rsid w:val="00D107E4"/>
    <w:rsid w:val="00D11D97"/>
    <w:rsid w:val="00D12145"/>
    <w:rsid w:val="00D12B43"/>
    <w:rsid w:val="00D13388"/>
    <w:rsid w:val="00D1350B"/>
    <w:rsid w:val="00D15002"/>
    <w:rsid w:val="00D16111"/>
    <w:rsid w:val="00D1715C"/>
    <w:rsid w:val="00D171B4"/>
    <w:rsid w:val="00D202C4"/>
    <w:rsid w:val="00D228CA"/>
    <w:rsid w:val="00D236C2"/>
    <w:rsid w:val="00D23A96"/>
    <w:rsid w:val="00D24EC0"/>
    <w:rsid w:val="00D2564C"/>
    <w:rsid w:val="00D27F6C"/>
    <w:rsid w:val="00D31B99"/>
    <w:rsid w:val="00D34167"/>
    <w:rsid w:val="00D34B36"/>
    <w:rsid w:val="00D35A52"/>
    <w:rsid w:val="00D37B32"/>
    <w:rsid w:val="00D42459"/>
    <w:rsid w:val="00D469AF"/>
    <w:rsid w:val="00D46C1C"/>
    <w:rsid w:val="00D46EE9"/>
    <w:rsid w:val="00D4755B"/>
    <w:rsid w:val="00D50D11"/>
    <w:rsid w:val="00D522D2"/>
    <w:rsid w:val="00D52B9E"/>
    <w:rsid w:val="00D55219"/>
    <w:rsid w:val="00D557E1"/>
    <w:rsid w:val="00D56DEA"/>
    <w:rsid w:val="00D571F7"/>
    <w:rsid w:val="00D5747D"/>
    <w:rsid w:val="00D6008B"/>
    <w:rsid w:val="00D616C5"/>
    <w:rsid w:val="00D636E9"/>
    <w:rsid w:val="00D63AC6"/>
    <w:rsid w:val="00D64062"/>
    <w:rsid w:val="00D64EA8"/>
    <w:rsid w:val="00D67697"/>
    <w:rsid w:val="00D67C42"/>
    <w:rsid w:val="00D70E16"/>
    <w:rsid w:val="00D74098"/>
    <w:rsid w:val="00D74C15"/>
    <w:rsid w:val="00D75014"/>
    <w:rsid w:val="00D75161"/>
    <w:rsid w:val="00D75889"/>
    <w:rsid w:val="00D758DB"/>
    <w:rsid w:val="00D7644C"/>
    <w:rsid w:val="00D803EA"/>
    <w:rsid w:val="00D8234F"/>
    <w:rsid w:val="00D829AE"/>
    <w:rsid w:val="00D83A35"/>
    <w:rsid w:val="00D84EA2"/>
    <w:rsid w:val="00D85AE2"/>
    <w:rsid w:val="00D87253"/>
    <w:rsid w:val="00D90BDF"/>
    <w:rsid w:val="00D934B2"/>
    <w:rsid w:val="00D97193"/>
    <w:rsid w:val="00D97D13"/>
    <w:rsid w:val="00DA00D0"/>
    <w:rsid w:val="00DA1CA1"/>
    <w:rsid w:val="00DA3C93"/>
    <w:rsid w:val="00DA7E21"/>
    <w:rsid w:val="00DB0497"/>
    <w:rsid w:val="00DB1D36"/>
    <w:rsid w:val="00DB38D4"/>
    <w:rsid w:val="00DB3D34"/>
    <w:rsid w:val="00DB3E7F"/>
    <w:rsid w:val="00DB4390"/>
    <w:rsid w:val="00DB49C7"/>
    <w:rsid w:val="00DB5017"/>
    <w:rsid w:val="00DB6942"/>
    <w:rsid w:val="00DB78A5"/>
    <w:rsid w:val="00DB7B3D"/>
    <w:rsid w:val="00DC0D78"/>
    <w:rsid w:val="00DC1472"/>
    <w:rsid w:val="00DC219F"/>
    <w:rsid w:val="00DC21D1"/>
    <w:rsid w:val="00DC4CD3"/>
    <w:rsid w:val="00DD0467"/>
    <w:rsid w:val="00DD105A"/>
    <w:rsid w:val="00DD231D"/>
    <w:rsid w:val="00DD36E9"/>
    <w:rsid w:val="00DD56EF"/>
    <w:rsid w:val="00DD5B94"/>
    <w:rsid w:val="00DE02AF"/>
    <w:rsid w:val="00DE0AD1"/>
    <w:rsid w:val="00DE15FF"/>
    <w:rsid w:val="00DE4678"/>
    <w:rsid w:val="00DE5CAC"/>
    <w:rsid w:val="00DE65A9"/>
    <w:rsid w:val="00DE6B9C"/>
    <w:rsid w:val="00DF1524"/>
    <w:rsid w:val="00DF1E44"/>
    <w:rsid w:val="00DF334D"/>
    <w:rsid w:val="00DF354A"/>
    <w:rsid w:val="00DF4C0C"/>
    <w:rsid w:val="00DF4E7C"/>
    <w:rsid w:val="00DF5EC1"/>
    <w:rsid w:val="00DF6442"/>
    <w:rsid w:val="00E01347"/>
    <w:rsid w:val="00E01790"/>
    <w:rsid w:val="00E025A5"/>
    <w:rsid w:val="00E02D68"/>
    <w:rsid w:val="00E0362E"/>
    <w:rsid w:val="00E11034"/>
    <w:rsid w:val="00E1275E"/>
    <w:rsid w:val="00E1451F"/>
    <w:rsid w:val="00E147F3"/>
    <w:rsid w:val="00E14A56"/>
    <w:rsid w:val="00E15197"/>
    <w:rsid w:val="00E1564E"/>
    <w:rsid w:val="00E20C4C"/>
    <w:rsid w:val="00E21707"/>
    <w:rsid w:val="00E2251F"/>
    <w:rsid w:val="00E25953"/>
    <w:rsid w:val="00E30671"/>
    <w:rsid w:val="00E315CC"/>
    <w:rsid w:val="00E31CE3"/>
    <w:rsid w:val="00E31E93"/>
    <w:rsid w:val="00E3331A"/>
    <w:rsid w:val="00E33897"/>
    <w:rsid w:val="00E34109"/>
    <w:rsid w:val="00E347AC"/>
    <w:rsid w:val="00E359A0"/>
    <w:rsid w:val="00E3720B"/>
    <w:rsid w:val="00E3790A"/>
    <w:rsid w:val="00E41B49"/>
    <w:rsid w:val="00E4263D"/>
    <w:rsid w:val="00E44B2D"/>
    <w:rsid w:val="00E46F15"/>
    <w:rsid w:val="00E47693"/>
    <w:rsid w:val="00E47DEB"/>
    <w:rsid w:val="00E50CED"/>
    <w:rsid w:val="00E529D4"/>
    <w:rsid w:val="00E52DFC"/>
    <w:rsid w:val="00E54EB1"/>
    <w:rsid w:val="00E54ED5"/>
    <w:rsid w:val="00E5676A"/>
    <w:rsid w:val="00E60308"/>
    <w:rsid w:val="00E60A1D"/>
    <w:rsid w:val="00E61C53"/>
    <w:rsid w:val="00E6223D"/>
    <w:rsid w:val="00E62552"/>
    <w:rsid w:val="00E63CF4"/>
    <w:rsid w:val="00E6407B"/>
    <w:rsid w:val="00E64168"/>
    <w:rsid w:val="00E6577E"/>
    <w:rsid w:val="00E66F45"/>
    <w:rsid w:val="00E6718E"/>
    <w:rsid w:val="00E67A6C"/>
    <w:rsid w:val="00E70A6E"/>
    <w:rsid w:val="00E70E35"/>
    <w:rsid w:val="00E71C35"/>
    <w:rsid w:val="00E727EF"/>
    <w:rsid w:val="00E72B31"/>
    <w:rsid w:val="00E738CC"/>
    <w:rsid w:val="00E755C4"/>
    <w:rsid w:val="00E75BA1"/>
    <w:rsid w:val="00E82003"/>
    <w:rsid w:val="00E82646"/>
    <w:rsid w:val="00E83D78"/>
    <w:rsid w:val="00E85F67"/>
    <w:rsid w:val="00E86CE8"/>
    <w:rsid w:val="00E8722F"/>
    <w:rsid w:val="00E87321"/>
    <w:rsid w:val="00E873B3"/>
    <w:rsid w:val="00E91C75"/>
    <w:rsid w:val="00E9279C"/>
    <w:rsid w:val="00E945C6"/>
    <w:rsid w:val="00EA5293"/>
    <w:rsid w:val="00EA5C20"/>
    <w:rsid w:val="00EA629F"/>
    <w:rsid w:val="00EB044F"/>
    <w:rsid w:val="00EB3725"/>
    <w:rsid w:val="00EB46C1"/>
    <w:rsid w:val="00EB4CB7"/>
    <w:rsid w:val="00EB553F"/>
    <w:rsid w:val="00EB6657"/>
    <w:rsid w:val="00EB7E10"/>
    <w:rsid w:val="00EC00E7"/>
    <w:rsid w:val="00EC0ADB"/>
    <w:rsid w:val="00EC0FCA"/>
    <w:rsid w:val="00EC1EA7"/>
    <w:rsid w:val="00EC272E"/>
    <w:rsid w:val="00EC2C75"/>
    <w:rsid w:val="00EC2CB8"/>
    <w:rsid w:val="00EC2E35"/>
    <w:rsid w:val="00EC3640"/>
    <w:rsid w:val="00EC384D"/>
    <w:rsid w:val="00EC451D"/>
    <w:rsid w:val="00EC4F75"/>
    <w:rsid w:val="00EC506B"/>
    <w:rsid w:val="00EC6100"/>
    <w:rsid w:val="00EC6922"/>
    <w:rsid w:val="00ED09E7"/>
    <w:rsid w:val="00ED2E52"/>
    <w:rsid w:val="00ED4053"/>
    <w:rsid w:val="00ED7395"/>
    <w:rsid w:val="00ED76D8"/>
    <w:rsid w:val="00ED7817"/>
    <w:rsid w:val="00ED788C"/>
    <w:rsid w:val="00ED7B82"/>
    <w:rsid w:val="00ED7D04"/>
    <w:rsid w:val="00EE205B"/>
    <w:rsid w:val="00EE37D5"/>
    <w:rsid w:val="00EE4114"/>
    <w:rsid w:val="00EE444B"/>
    <w:rsid w:val="00EE446C"/>
    <w:rsid w:val="00EE4514"/>
    <w:rsid w:val="00EE524E"/>
    <w:rsid w:val="00EE5BCF"/>
    <w:rsid w:val="00EE7FA6"/>
    <w:rsid w:val="00EF027F"/>
    <w:rsid w:val="00EF0805"/>
    <w:rsid w:val="00EF24F6"/>
    <w:rsid w:val="00EF34B3"/>
    <w:rsid w:val="00EF4686"/>
    <w:rsid w:val="00EF52C3"/>
    <w:rsid w:val="00EF6672"/>
    <w:rsid w:val="00F008D2"/>
    <w:rsid w:val="00F015B1"/>
    <w:rsid w:val="00F03969"/>
    <w:rsid w:val="00F04054"/>
    <w:rsid w:val="00F06119"/>
    <w:rsid w:val="00F062E4"/>
    <w:rsid w:val="00F06B21"/>
    <w:rsid w:val="00F06EF3"/>
    <w:rsid w:val="00F0709A"/>
    <w:rsid w:val="00F079B0"/>
    <w:rsid w:val="00F10B61"/>
    <w:rsid w:val="00F12152"/>
    <w:rsid w:val="00F129C8"/>
    <w:rsid w:val="00F12BFD"/>
    <w:rsid w:val="00F15604"/>
    <w:rsid w:val="00F16B1F"/>
    <w:rsid w:val="00F17EE2"/>
    <w:rsid w:val="00F20CEB"/>
    <w:rsid w:val="00F21150"/>
    <w:rsid w:val="00F21B27"/>
    <w:rsid w:val="00F21E28"/>
    <w:rsid w:val="00F235EB"/>
    <w:rsid w:val="00F23F58"/>
    <w:rsid w:val="00F2470F"/>
    <w:rsid w:val="00F24DD0"/>
    <w:rsid w:val="00F311CE"/>
    <w:rsid w:val="00F317E3"/>
    <w:rsid w:val="00F31F5F"/>
    <w:rsid w:val="00F33301"/>
    <w:rsid w:val="00F35EAD"/>
    <w:rsid w:val="00F36C50"/>
    <w:rsid w:val="00F37236"/>
    <w:rsid w:val="00F40577"/>
    <w:rsid w:val="00F41090"/>
    <w:rsid w:val="00F41BA6"/>
    <w:rsid w:val="00F45CFB"/>
    <w:rsid w:val="00F46D3B"/>
    <w:rsid w:val="00F47A04"/>
    <w:rsid w:val="00F51235"/>
    <w:rsid w:val="00F5160A"/>
    <w:rsid w:val="00F533C1"/>
    <w:rsid w:val="00F53D15"/>
    <w:rsid w:val="00F54A86"/>
    <w:rsid w:val="00F55306"/>
    <w:rsid w:val="00F561EC"/>
    <w:rsid w:val="00F56F52"/>
    <w:rsid w:val="00F6206B"/>
    <w:rsid w:val="00F62294"/>
    <w:rsid w:val="00F639A2"/>
    <w:rsid w:val="00F64CFD"/>
    <w:rsid w:val="00F64FE8"/>
    <w:rsid w:val="00F651AC"/>
    <w:rsid w:val="00F6590D"/>
    <w:rsid w:val="00F7172E"/>
    <w:rsid w:val="00F71C92"/>
    <w:rsid w:val="00F71E2F"/>
    <w:rsid w:val="00F72C56"/>
    <w:rsid w:val="00F756DB"/>
    <w:rsid w:val="00F75A5F"/>
    <w:rsid w:val="00F75C3C"/>
    <w:rsid w:val="00F76704"/>
    <w:rsid w:val="00F872B3"/>
    <w:rsid w:val="00F92428"/>
    <w:rsid w:val="00F92637"/>
    <w:rsid w:val="00F92F35"/>
    <w:rsid w:val="00F95AE8"/>
    <w:rsid w:val="00F95CA2"/>
    <w:rsid w:val="00F9716B"/>
    <w:rsid w:val="00FA1C8E"/>
    <w:rsid w:val="00FA3179"/>
    <w:rsid w:val="00FA3D62"/>
    <w:rsid w:val="00FA49CB"/>
    <w:rsid w:val="00FA4C57"/>
    <w:rsid w:val="00FA599D"/>
    <w:rsid w:val="00FA62D0"/>
    <w:rsid w:val="00FA674D"/>
    <w:rsid w:val="00FB0382"/>
    <w:rsid w:val="00FB1920"/>
    <w:rsid w:val="00FC28AB"/>
    <w:rsid w:val="00FC31A9"/>
    <w:rsid w:val="00FC5AEC"/>
    <w:rsid w:val="00FC784E"/>
    <w:rsid w:val="00FC7C43"/>
    <w:rsid w:val="00FD0072"/>
    <w:rsid w:val="00FD0AD0"/>
    <w:rsid w:val="00FE02C9"/>
    <w:rsid w:val="00FE1860"/>
    <w:rsid w:val="00FE1C83"/>
    <w:rsid w:val="00FE1DDA"/>
    <w:rsid w:val="00FE2B8B"/>
    <w:rsid w:val="00FE34AB"/>
    <w:rsid w:val="00FF19CD"/>
    <w:rsid w:val="00FF2AA0"/>
    <w:rsid w:val="00FF4724"/>
    <w:rsid w:val="00FF5156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C1787"/>
  <w15:chartTrackingRefBased/>
  <w15:docId w15:val="{BA648F3C-D0B3-423E-8B38-D3151C1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Cs w:val="20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360" w:lineRule="auto"/>
      <w:outlineLvl w:val="2"/>
    </w:pPr>
    <w:rPr>
      <w:rFonts w:ascii="Arial" w:hAnsi="Arial" w:cs="Arial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right="-567"/>
      <w:outlineLvl w:val="3"/>
    </w:pPr>
    <w:rPr>
      <w:rFonts w:ascii="Arial" w:hAnsi="Arial" w:cs="Arial"/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ind w:left="720" w:right="-308" w:firstLine="720"/>
      <w:outlineLvl w:val="4"/>
    </w:pPr>
    <w:rPr>
      <w:b/>
      <w:bCs/>
      <w:color w:val="FF000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spacing w:line="360" w:lineRule="auto"/>
      <w:ind w:right="-308"/>
      <w:outlineLvl w:val="5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b/>
      <w:bCs/>
      <w:sz w:val="32"/>
      <w:lang w:eastAsia="en-US"/>
    </w:rPr>
  </w:style>
  <w:style w:type="character" w:customStyle="1" w:styleId="BodyText2Char">
    <w:name w:val="Body Text 2 Char"/>
    <w:semiHidden/>
    <w:rPr>
      <w:sz w:val="24"/>
      <w:szCs w:val="24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character" w:styleId="PageNumber">
    <w:name w:val="page number"/>
    <w:semiHidden/>
    <w:rPr>
      <w:rFonts w:cs="Times New Roman"/>
    </w:rPr>
  </w:style>
  <w:style w:type="paragraph" w:styleId="BodyText">
    <w:name w:val="Body Text"/>
    <w:basedOn w:val="Normal"/>
    <w:semiHidden/>
    <w:pPr>
      <w:spacing w:line="360" w:lineRule="auto"/>
      <w:ind w:right="-308"/>
    </w:pPr>
    <w:rPr>
      <w:rFonts w:ascii="Arial" w:hAnsi="Arial" w:cs="Arial"/>
      <w:sz w:val="20"/>
      <w:szCs w:val="22"/>
    </w:rPr>
  </w:style>
  <w:style w:type="character" w:customStyle="1" w:styleId="BodyTextChar">
    <w:name w:val="Body Text Char"/>
    <w:rPr>
      <w:rFonts w:ascii="Arial" w:hAnsi="Arial" w:cs="Arial"/>
      <w:sz w:val="22"/>
      <w:szCs w:val="22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sz w:val="0"/>
      <w:szCs w:val="0"/>
    </w:rPr>
  </w:style>
  <w:style w:type="paragraph" w:customStyle="1" w:styleId="Notes">
    <w:name w:val="Notes"/>
    <w:basedOn w:val="Normal"/>
    <w:pPr>
      <w:tabs>
        <w:tab w:val="left" w:pos="340"/>
      </w:tabs>
      <w:spacing w:after="100" w:line="200" w:lineRule="exact"/>
      <w:ind w:left="284" w:hanging="284"/>
    </w:pPr>
    <w:rPr>
      <w:rFonts w:ascii="Arial" w:hAnsi="Arial"/>
      <w:color w:val="003366"/>
      <w:sz w:val="16"/>
      <w:szCs w:val="20"/>
      <w:lang w:eastAsia="en-US"/>
    </w:rPr>
  </w:style>
  <w:style w:type="paragraph" w:customStyle="1" w:styleId="Tabletexthighlights">
    <w:name w:val="Table text highlights"/>
    <w:basedOn w:val="Normal"/>
    <w:pPr>
      <w:spacing w:before="40" w:after="40" w:line="240" w:lineRule="exact"/>
    </w:pPr>
    <w:rPr>
      <w:rFonts w:ascii="Arial" w:hAnsi="Arial"/>
      <w:color w:val="003366"/>
      <w:sz w:val="22"/>
      <w:szCs w:val="20"/>
      <w:lang w:eastAsia="en-US"/>
    </w:rPr>
  </w:style>
  <w:style w:type="paragraph" w:customStyle="1" w:styleId="Bodytextaftertable">
    <w:name w:val="Bodytext after table"/>
    <w:basedOn w:val="Normal"/>
    <w:pPr>
      <w:spacing w:before="120" w:after="120" w:line="240" w:lineRule="exact"/>
    </w:pPr>
    <w:rPr>
      <w:rFonts w:ascii="Arial" w:hAnsi="Arial"/>
      <w:color w:val="003366"/>
      <w:sz w:val="20"/>
      <w:szCs w:val="20"/>
      <w:lang w:eastAsia="en-US"/>
    </w:rPr>
  </w:style>
  <w:style w:type="paragraph" w:customStyle="1" w:styleId="baselightblue">
    <w:name w:val="___base light blue"/>
    <w:rPr>
      <w:rFonts w:ascii="Arial" w:hAnsi="Arial"/>
      <w:color w:val="009FDA"/>
      <w:sz w:val="24"/>
      <w:szCs w:val="24"/>
    </w:rPr>
  </w:style>
  <w:style w:type="paragraph" w:customStyle="1" w:styleId="TOC1">
    <w:name w:val="_TOC 1"/>
    <w:basedOn w:val="Normal"/>
    <w:pPr>
      <w:tabs>
        <w:tab w:val="right" w:pos="9299"/>
      </w:tabs>
      <w:spacing w:after="240" w:line="240" w:lineRule="atLeast"/>
    </w:pPr>
    <w:rPr>
      <w:rFonts w:ascii="Arial" w:hAnsi="Arial"/>
      <w:sz w:val="20"/>
    </w:rPr>
  </w:style>
  <w:style w:type="paragraph" w:customStyle="1" w:styleId="bodytextaftertable0">
    <w:name w:val="bodytextaftertable"/>
    <w:basedOn w:val="Normal"/>
    <w:pPr>
      <w:spacing w:before="120" w:after="120" w:line="240" w:lineRule="atLeast"/>
    </w:pPr>
    <w:rPr>
      <w:rFonts w:ascii="Arial" w:eastAsia="Arial Unicode MS" w:hAnsi="Arial" w:cs="Arial"/>
      <w:color w:val="003366"/>
      <w:sz w:val="20"/>
      <w:szCs w:val="20"/>
      <w:lang w:eastAsia="en-US"/>
    </w:rPr>
  </w:style>
  <w:style w:type="paragraph" w:styleId="BodyText3">
    <w:name w:val="Body Text 3"/>
    <w:basedOn w:val="Normal"/>
    <w:semiHidden/>
    <w:pPr>
      <w:spacing w:before="100" w:beforeAutospacing="1" w:after="120" w:line="360" w:lineRule="auto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unhideWhenUsed/>
    <w:rsid w:val="00ED09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7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85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ays (new)">
      <a:dk1>
        <a:srgbClr val="000000"/>
      </a:dk1>
      <a:lt1>
        <a:srgbClr val="FFFFFF"/>
      </a:lt1>
      <a:dk2>
        <a:srgbClr val="2DBAD7"/>
      </a:dk2>
      <a:lt2>
        <a:srgbClr val="002776"/>
      </a:lt2>
      <a:accent1>
        <a:srgbClr val="F5F0EB"/>
      </a:accent1>
      <a:accent2>
        <a:srgbClr val="007FA9"/>
      </a:accent2>
      <a:accent3>
        <a:srgbClr val="00A0FF"/>
      </a:accent3>
      <a:accent4>
        <a:srgbClr val="00BFB3"/>
      </a:accent4>
      <a:accent5>
        <a:srgbClr val="934FAB"/>
      </a:accent5>
      <a:accent6>
        <a:srgbClr val="86888A"/>
      </a:accent6>
      <a:hlink>
        <a:srgbClr val="009FDA"/>
      </a:hlink>
      <a:folHlink>
        <a:srgbClr val="00BFB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31AF-3FD6-4911-BD65-5C37D9E8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1449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 3</vt:lpstr>
    </vt:vector>
  </TitlesOfParts>
  <Company>HPS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 3</dc:title>
  <dc:subject/>
  <dc:creator>Charles Chalkly</dc:creator>
  <cp:keywords/>
  <cp:lastModifiedBy>Phillips, David</cp:lastModifiedBy>
  <cp:revision>3</cp:revision>
  <cp:lastPrinted>2023-04-13T14:21:00Z</cp:lastPrinted>
  <dcterms:created xsi:type="dcterms:W3CDTF">2023-04-13T14:21:00Z</dcterms:created>
  <dcterms:modified xsi:type="dcterms:W3CDTF">2023-04-13T17:53:00Z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696533359</vt:i4>
  </property>
</Properties>
</file>